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6A25A9">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《青阳县国士空间总体规划(2021-2035年)动态维护方案(2026年度)》(公示稿)</w:t>
      </w:r>
    </w:p>
    <w:p w14:paraId="2201913F">
      <w:pPr>
        <w:rPr>
          <w:rFonts w:hint="eastAsia" w:ascii="仿宋_GB2312" w:hAnsi="仿宋_GB2312" w:eastAsia="仿宋_GB2312" w:cs="仿宋_GB2312"/>
          <w:sz w:val="32"/>
          <w:szCs w:val="32"/>
        </w:rPr>
      </w:pPr>
    </w:p>
    <w:p w14:paraId="1AC7F9C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次动态维护工作依据《安徽省自然资源厅关于做好国土空间总体规划动态调整完善工作的通知》《安徽省自然资源厅关于印发(安徽省市县级国土空间总体规划动态维护方案编制指南(试行))的通知》要求，基于《青阳县2024年度国土空间规划城市体检评估报告》的相关结论与建议，在严守空间安全底线，不突破上级国土空间总体规划确定的保护目标任务前提下，聚焦三条控制线正向优化开展动态维护工作，推动国土空间布局更加科学有序、结构更加合理均衡、管控更加精准有效，为支撑县域“十五五”高质量发展提供坚实的空间保障。</w:t>
      </w:r>
    </w:p>
    <w:p w14:paraId="1BABE1B8">
      <w:pPr>
        <w:ind w:firstLine="640" w:firstLineChars="200"/>
        <w:rPr>
          <w:rFonts w:hint="eastAsia" w:ascii="黑体" w:hAnsi="黑体" w:eastAsia="黑体" w:cs="黑体"/>
          <w:sz w:val="32"/>
          <w:szCs w:val="32"/>
        </w:rPr>
      </w:pPr>
      <w:r>
        <w:rPr>
          <w:rFonts w:hint="eastAsia" w:ascii="黑体" w:hAnsi="黑体" w:eastAsia="黑体" w:cs="黑体"/>
          <w:sz w:val="32"/>
          <w:szCs w:val="32"/>
        </w:rPr>
        <w:t>一、深化落实目标战略</w:t>
      </w:r>
    </w:p>
    <w:p w14:paraId="1DF0E97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充分衔接“十五五”规划纲要，紧扣高质量发展首要任务，坚定落实规划确定的“国家级镁基新材料基地、‘大黄山’地区文旅融合样板地、池州市副中心”城市性质定位，坚持市县联动、县山联动，发挥镁基新材料“四个基地”引领作用，奋力谱写现代化“九华圣境、灵秀青阳”的建设新篇章</w:t>
      </w:r>
    </w:p>
    <w:p w14:paraId="7CF35192">
      <w:pPr>
        <w:ind w:firstLine="640" w:firstLineChars="200"/>
        <w:rPr>
          <w:rFonts w:hint="eastAsia" w:ascii="黑体" w:hAnsi="黑体" w:eastAsia="黑体" w:cs="黑体"/>
          <w:sz w:val="32"/>
          <w:szCs w:val="32"/>
        </w:rPr>
      </w:pPr>
      <w:r>
        <w:rPr>
          <w:rFonts w:hint="eastAsia" w:ascii="黑体" w:hAnsi="黑体" w:eastAsia="黑体" w:cs="黑体"/>
          <w:sz w:val="32"/>
          <w:szCs w:val="32"/>
        </w:rPr>
        <w:t>二、维护重要控制线</w:t>
      </w:r>
    </w:p>
    <w:p w14:paraId="3B996AB9">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坚守耕地和永久基本农田保护任务，以促进农业空间布局优化和耕地集中连片为目标，以引导农业产业高质量发展为导向，动态维护永久基本农田保护红线，维护后总面积不低于规划确定的永久基本农田保护任务，确保总量不减少、质量有提升、布局更合理、集中连片度提高。</w:t>
      </w:r>
    </w:p>
    <w:p w14:paraId="60D1033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严格保护生态系统功能、维护生态安全的前提下，以巩固生态保护格局、提升生态系统完整性为导向，动态维护生态保护红线，维护后总面积24582.03公顷，确保生态保护红线任务不减少、功能有提升、布局更完善</w:t>
      </w:r>
    </w:p>
    <w:p w14:paraId="35F5A7A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优化城镇发展格局、增强城镇发展动能为目标，衔接“十五五”发展规划，保障近期建设项目用地需求，动态维护城镇开发边界，维护后扩展倍数保持1.21不变，确保城镇开发边界总量不突破、布局更集聚、功能品质有提升。</w:t>
      </w:r>
    </w:p>
    <w:p w14:paraId="73D99B20">
      <w:pPr>
        <w:ind w:firstLine="640" w:firstLineChars="200"/>
        <w:rPr>
          <w:rFonts w:hint="eastAsia" w:ascii="仿宋_GB2312" w:hAnsi="仿宋_GB2312" w:eastAsia="仿宋_GB2312" w:cs="仿宋_GB2312"/>
          <w:sz w:val="32"/>
          <w:szCs w:val="32"/>
        </w:rPr>
      </w:pPr>
      <w:bookmarkStart w:id="0" w:name="_GoBack"/>
      <w:bookmarkEnd w:id="0"/>
      <w:r>
        <w:rPr>
          <w:rFonts w:hint="eastAsia" w:ascii="仿宋_GB2312" w:hAnsi="仿宋_GB2312" w:eastAsia="仿宋_GB2312" w:cs="仿宋_GB2312"/>
          <w:sz w:val="32"/>
          <w:szCs w:val="32"/>
        </w:rPr>
        <w:t>坚持底线思维与民生优先并重，衔接相关国土空间专项:规划，动态维护其他重要控制线，重点校核控制线的管控名录和范围边界，确保各类控制线布局合理、管控有效。</w:t>
      </w:r>
    </w:p>
    <w:p w14:paraId="0B7072B5">
      <w:pPr>
        <w:ind w:firstLine="640" w:firstLineChars="200"/>
        <w:rPr>
          <w:rFonts w:hint="eastAsia" w:ascii="黑体" w:hAnsi="黑体" w:eastAsia="黑体" w:cs="黑体"/>
          <w:sz w:val="32"/>
          <w:szCs w:val="32"/>
        </w:rPr>
      </w:pPr>
      <w:r>
        <w:rPr>
          <w:rFonts w:hint="eastAsia" w:ascii="黑体" w:hAnsi="黑体" w:eastAsia="黑体" w:cs="黑体"/>
          <w:sz w:val="32"/>
          <w:szCs w:val="32"/>
        </w:rPr>
        <w:t>三、合理优化规划分区</w:t>
      </w:r>
    </w:p>
    <w:p w14:paraId="32E5FF72">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依据三条控制线正向优化成果，以空间战略格局优化为导向，对生态保护区、农田保护区、城镇发展区进行优化调整，同步联动优化乡村发展区等布局，确保各分区主导功能稳定、空间布局集中连片、整体格局完整联通。</w:t>
      </w:r>
    </w:p>
    <w:p w14:paraId="4DA22C96">
      <w:pPr>
        <w:ind w:firstLine="640" w:firstLineChars="200"/>
        <w:rPr>
          <w:rFonts w:hint="eastAsia" w:ascii="黑体" w:hAnsi="黑体" w:eastAsia="黑体" w:cs="黑体"/>
          <w:sz w:val="32"/>
          <w:szCs w:val="32"/>
        </w:rPr>
      </w:pPr>
      <w:r>
        <w:rPr>
          <w:rFonts w:hint="eastAsia" w:ascii="黑体" w:hAnsi="黑体" w:eastAsia="黑体" w:cs="黑体"/>
          <w:sz w:val="32"/>
          <w:szCs w:val="32"/>
        </w:rPr>
        <w:t>四、完善中心城区用地布局</w:t>
      </w:r>
    </w:p>
    <w:p w14:paraId="7C13CCD5">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依据三条控制线、规划用途分区优化成果，以完善城市功能和优化空间结构为导向，对中心城区用地用海规划布局进行动态维护，优化片区路网结构，改善公共服务设施覆盖、保障新质生产力空间，增强规划对“十五五”时期城市发展的适应性和统筹性。</w:t>
      </w:r>
    </w:p>
    <w:p w14:paraId="0BBE75D3">
      <w:pPr>
        <w:numPr>
          <w:ilvl w:val="0"/>
          <w:numId w:val="0"/>
        </w:numPr>
        <w:ind w:firstLine="640" w:firstLineChars="200"/>
        <w:rPr>
          <w:rFonts w:hint="eastAsia" w:ascii="仿宋_GB2312" w:hAnsi="仿宋_GB2312" w:eastAsia="仿宋_GB2312" w:cs="仿宋_GB2312"/>
          <w:sz w:val="32"/>
          <w:szCs w:val="32"/>
        </w:rPr>
      </w:pPr>
      <w:r>
        <w:rPr>
          <w:rFonts w:hint="eastAsia" w:ascii="黑体" w:hAnsi="黑体" w:eastAsia="黑体" w:cs="黑体"/>
          <w:kern w:val="2"/>
          <w:sz w:val="32"/>
          <w:szCs w:val="32"/>
          <w:lang w:val="en-US" w:eastAsia="zh-CN" w:bidi="ar-SA"/>
        </w:rPr>
        <w:t>五、</w:t>
      </w:r>
      <w:r>
        <w:rPr>
          <w:rFonts w:hint="eastAsia" w:ascii="黑体" w:hAnsi="黑体" w:eastAsia="黑体" w:cs="黑体"/>
          <w:sz w:val="32"/>
          <w:szCs w:val="32"/>
        </w:rPr>
        <w:t>更新年度重点项目清单</w:t>
      </w:r>
    </w:p>
    <w:p w14:paraId="618C5CC9">
      <w:pPr>
        <w:numPr>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落实上位“十五五”发展规划和上位专项规划确定的重大任务、重大工程空间需求，衔接青阳县“十五五”发展规划纲要和各专项规划空间需求，因地制宜动态增补、调序或清退项目，建立重点建设项目清单，确保项目清单数据真实、准确、完整，及时反映项目建设进展及变化情况，充分发挥重点项目对县域经济社会高质量发展的支撑带动作用。维护后重点建设项目共1982个。</w:t>
      </w:r>
    </w:p>
    <w:p w14:paraId="51CE10BE">
      <w:pPr>
        <w:ind w:firstLine="640" w:firstLineChars="200"/>
        <w:rPr>
          <w:rFonts w:hint="eastAsia" w:ascii="黑体" w:hAnsi="黑体" w:eastAsia="黑体" w:cs="黑体"/>
          <w:sz w:val="32"/>
          <w:szCs w:val="32"/>
        </w:rPr>
      </w:pPr>
      <w:r>
        <w:rPr>
          <w:rFonts w:hint="eastAsia" w:ascii="黑体" w:hAnsi="黑体" w:eastAsia="黑体" w:cs="黑体"/>
          <w:sz w:val="32"/>
          <w:szCs w:val="32"/>
        </w:rPr>
        <w:t>六、规划动态维护成效</w:t>
      </w:r>
    </w:p>
    <w:p w14:paraId="3C81DB4E">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次国土空间规划动态维护方案严守空间安全底线，各。项调整均未突破上位规划确定的约束性指标，未改变全域总体空间结构与格局。通过本次优化，底线管控进一步夯实，规划实施效能有效提升，城镇空间布局更加科学完善，重大项目落地得到坚实保障，为青阳县高质量发展提供了有力的空间支撑。</w:t>
      </w:r>
    </w:p>
    <w:p w14:paraId="2D49E8EE">
      <w:pPr>
        <w:ind w:firstLine="640" w:firstLineChars="200"/>
        <w:rPr>
          <w:rFonts w:hint="eastAsia" w:ascii="黑体" w:hAnsi="黑体" w:eastAsia="黑体" w:cs="黑体"/>
          <w:sz w:val="32"/>
          <w:szCs w:val="32"/>
        </w:rPr>
      </w:pPr>
      <w:r>
        <w:rPr>
          <w:rFonts w:hint="eastAsia" w:ascii="黑体" w:hAnsi="黑体" w:eastAsia="黑体" w:cs="黑体"/>
          <w:sz w:val="32"/>
          <w:szCs w:val="32"/>
        </w:rPr>
        <w:t>七、图纸</w:t>
      </w:r>
    </w:p>
    <w:p w14:paraId="0B5E5FE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1.县域国土空间总体格局规划图</w:t>
      </w:r>
    </w:p>
    <w:p w14:paraId="1EF73C32">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2.维护后三条控制线规划图</w:t>
      </w:r>
    </w:p>
    <w:p w14:paraId="4C1B4BCC">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3.维护后国土空间用途分区规划图</w:t>
      </w:r>
    </w:p>
    <w:p w14:paraId="65C35176">
      <w:pPr>
        <w:rPr>
          <w:rFonts w:hint="eastAsia"/>
        </w:rPr>
      </w:pPr>
    </w:p>
    <w:p w14:paraId="759CB571">
      <w:pPr>
        <w:rPr>
          <w:rFonts w:hint="eastAsia" w:eastAsiaTheme="minorEastAsia"/>
          <w:lang w:eastAsia="zh-CN"/>
        </w:rPr>
      </w:pPr>
      <w:r>
        <w:rPr>
          <w:rFonts w:hint="eastAsia" w:eastAsiaTheme="minorEastAsia"/>
          <w:lang w:eastAsia="zh-CN"/>
        </w:rPr>
        <w:drawing>
          <wp:inline distT="0" distB="0" distL="114300" distR="114300">
            <wp:extent cx="5266690" cy="7456170"/>
            <wp:effectExtent l="0" t="0" r="10160" b="11430"/>
            <wp:docPr id="1" name="图片 1" descr="3036e0fc4e0c263f0c9fe745e58164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036e0fc4e0c263f0c9fe745e58164b2"/>
                    <pic:cNvPicPr>
                      <a:picLocks noChangeAspect="1"/>
                    </pic:cNvPicPr>
                  </pic:nvPicPr>
                  <pic:blipFill>
                    <a:blip r:embed="rId4"/>
                    <a:stretch>
                      <a:fillRect/>
                    </a:stretch>
                  </pic:blipFill>
                  <pic:spPr>
                    <a:xfrm>
                      <a:off x="0" y="0"/>
                      <a:ext cx="5266690" cy="7456170"/>
                    </a:xfrm>
                    <a:prstGeom prst="rect">
                      <a:avLst/>
                    </a:prstGeom>
                  </pic:spPr>
                </pic:pic>
              </a:graphicData>
            </a:graphic>
          </wp:inline>
        </w:drawing>
      </w:r>
    </w:p>
    <w:p w14:paraId="6770488C">
      <w:pPr>
        <w:rPr>
          <w:rFonts w:hint="eastAsia" w:eastAsiaTheme="minorEastAsia"/>
          <w:lang w:eastAsia="zh-CN"/>
        </w:rPr>
      </w:pPr>
    </w:p>
    <w:p w14:paraId="1960376C">
      <w:pPr>
        <w:rPr>
          <w:rFonts w:hint="eastAsia" w:eastAsiaTheme="minorEastAsia"/>
          <w:lang w:eastAsia="zh-CN"/>
        </w:rPr>
      </w:pPr>
    </w:p>
    <w:p w14:paraId="6D8AE07A">
      <w:pPr>
        <w:rPr>
          <w:rFonts w:hint="eastAsia" w:eastAsiaTheme="minorEastAsia"/>
          <w:lang w:eastAsia="zh-CN"/>
        </w:rPr>
      </w:pPr>
      <w:r>
        <w:rPr>
          <w:rFonts w:hint="eastAsia" w:eastAsiaTheme="minorEastAsia"/>
          <w:lang w:eastAsia="zh-CN"/>
        </w:rPr>
        <w:drawing>
          <wp:inline distT="0" distB="0" distL="114300" distR="114300">
            <wp:extent cx="5266690" cy="7456170"/>
            <wp:effectExtent l="0" t="0" r="10160" b="11430"/>
            <wp:docPr id="2" name="图片 2" descr="8802a15735b1f744ce4fe5540fa7f3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802a15735b1f744ce4fe5540fa7f3e7"/>
                    <pic:cNvPicPr>
                      <a:picLocks noChangeAspect="1"/>
                    </pic:cNvPicPr>
                  </pic:nvPicPr>
                  <pic:blipFill>
                    <a:blip r:embed="rId5"/>
                    <a:stretch>
                      <a:fillRect/>
                    </a:stretch>
                  </pic:blipFill>
                  <pic:spPr>
                    <a:xfrm>
                      <a:off x="0" y="0"/>
                      <a:ext cx="5266690" cy="7456170"/>
                    </a:xfrm>
                    <a:prstGeom prst="rect">
                      <a:avLst/>
                    </a:prstGeom>
                  </pic:spPr>
                </pic:pic>
              </a:graphicData>
            </a:graphic>
          </wp:inline>
        </w:drawing>
      </w:r>
    </w:p>
    <w:p w14:paraId="0484D0A7">
      <w:pPr>
        <w:rPr>
          <w:rFonts w:hint="eastAsia" w:eastAsiaTheme="minorEastAsia"/>
          <w:lang w:eastAsia="zh-CN"/>
        </w:rPr>
      </w:pPr>
    </w:p>
    <w:p w14:paraId="4DC2CEBF">
      <w:pPr>
        <w:rPr>
          <w:rFonts w:hint="eastAsia" w:eastAsiaTheme="minorEastAsia"/>
          <w:lang w:eastAsia="zh-CN"/>
        </w:rPr>
      </w:pPr>
    </w:p>
    <w:p w14:paraId="6E5B1C4E">
      <w:pPr>
        <w:rPr>
          <w:rFonts w:hint="eastAsia" w:eastAsiaTheme="minorEastAsia"/>
          <w:lang w:eastAsia="zh-CN"/>
        </w:rPr>
      </w:pPr>
    </w:p>
    <w:p w14:paraId="3938BE75">
      <w:pPr>
        <w:rPr>
          <w:rFonts w:hint="eastAsia" w:eastAsiaTheme="minorEastAsia"/>
          <w:lang w:eastAsia="zh-CN"/>
        </w:rPr>
      </w:pPr>
    </w:p>
    <w:p w14:paraId="61414902">
      <w:pPr>
        <w:rPr>
          <w:rFonts w:hint="eastAsia" w:eastAsiaTheme="minorEastAsia"/>
          <w:lang w:eastAsia="zh-CN"/>
        </w:rPr>
      </w:pPr>
    </w:p>
    <w:p w14:paraId="160A0993">
      <w:pPr>
        <w:rPr>
          <w:rFonts w:hint="eastAsia" w:eastAsiaTheme="minorEastAsia"/>
          <w:lang w:eastAsia="zh-CN"/>
        </w:rPr>
      </w:pPr>
    </w:p>
    <w:p w14:paraId="06E0D27E">
      <w:pPr>
        <w:rPr>
          <w:rFonts w:hint="eastAsia" w:eastAsiaTheme="minorEastAsia"/>
          <w:lang w:eastAsia="zh-CN"/>
        </w:rPr>
      </w:pPr>
      <w:r>
        <w:rPr>
          <w:rFonts w:hint="eastAsia" w:eastAsiaTheme="minorEastAsia"/>
          <w:lang w:eastAsia="zh-CN"/>
        </w:rPr>
        <w:drawing>
          <wp:inline distT="0" distB="0" distL="114300" distR="114300">
            <wp:extent cx="5266690" cy="7456170"/>
            <wp:effectExtent l="0" t="0" r="10160" b="11430"/>
            <wp:docPr id="3" name="图片 3" descr="70f6450b65929ddabc40601eb3798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70f6450b65929ddabc40601eb3798e01"/>
                    <pic:cNvPicPr>
                      <a:picLocks noChangeAspect="1"/>
                    </pic:cNvPicPr>
                  </pic:nvPicPr>
                  <pic:blipFill>
                    <a:blip r:embed="rId6"/>
                    <a:stretch>
                      <a:fillRect/>
                    </a:stretch>
                  </pic:blipFill>
                  <pic:spPr>
                    <a:xfrm>
                      <a:off x="0" y="0"/>
                      <a:ext cx="5266690" cy="7456170"/>
                    </a:xfrm>
                    <a:prstGeom prst="rect">
                      <a:avLst/>
                    </a:prstGeom>
                  </pic:spPr>
                </pic:pic>
              </a:graphicData>
            </a:graphic>
          </wp:inline>
        </w:drawing>
      </w:r>
    </w:p>
    <w:sectPr>
      <w:pgSz w:w="11906" w:h="16838"/>
      <w:pgMar w:top="1814" w:right="1587" w:bottom="1463"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xMWZlM2FiNTQyMDQwOWMyMzU0ZjdkMzcwZmQ2ZTEifQ=="/>
  </w:docVars>
  <w:rsids>
    <w:rsidRoot w:val="00000000"/>
    <w:rsid w:val="1C6E1B5F"/>
    <w:rsid w:val="61082E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1405</Words>
  <Characters>1438</Characters>
  <Lines>0</Lines>
  <Paragraphs>0</Paragraphs>
  <TotalTime>5</TotalTime>
  <ScaleCrop>false</ScaleCrop>
  <LinksUpToDate>false</LinksUpToDate>
  <CharactersWithSpaces>1438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2026-05-18T01:24:00Z</dcterms:created>
  <dc:creator>Suma</dc:creator>
  <cp:lastModifiedBy>陶维</cp:lastModifiedBy>
  <dcterms:modified xsi:type="dcterms:W3CDTF">2026-05-18T01:33:15Z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D1030D84D1BB40B6B45A433F501EA428_12</vt:lpwstr>
  </property>
</Properties>
</file>