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EB1CC6">
      <w:pPr>
        <w:spacing w:line="560" w:lineRule="exact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3E026D64">
      <w:pPr>
        <w:spacing w:line="560" w:lineRule="exact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103DCB2E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32"/>
          <w:lang w:val="en-US" w:eastAsia="zh-CN"/>
        </w:rPr>
        <w:t>青阳县人民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32"/>
        </w:rPr>
        <w:t>政府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32"/>
          <w:lang w:val="en-US" w:eastAsia="zh-CN"/>
        </w:rPr>
        <w:t>2024年政府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32"/>
        </w:rPr>
        <w:t>信息公开</w:t>
      </w:r>
    </w:p>
    <w:p w14:paraId="30D5DE0A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32"/>
        </w:rPr>
        <w:t>工作年度报告</w:t>
      </w:r>
    </w:p>
    <w:p w14:paraId="2CE0AB0D">
      <w:pPr>
        <w:spacing w:line="560" w:lineRule="exact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</w:p>
    <w:p w14:paraId="0ED253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根据《中华人民共和国政府信息公开条例》（国务院令第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711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号）和《国务院办公厅政府信息与政务公开办公室关于印发〈中华人民共和国政府信息公开工作年度报告格式〉的通知》（国办公开办函〔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〕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号）要求，编制本年度报告。本报告中使用数据统计期限为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日至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日。如对本报告有任何疑问，请与青阳县数据资源管理局联系（地址：青阳县开发区东河路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号政务服务中心大楼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楼，电话：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0566-5038187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，电子邮箱：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qyzwfwzx@163.com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，邮编：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242800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）。</w:t>
      </w:r>
    </w:p>
    <w:p w14:paraId="2374C9D3">
      <w:pPr>
        <w:spacing w:line="560" w:lineRule="exact"/>
        <w:ind w:firstLine="640" w:firstLineChars="200"/>
        <w:jc w:val="both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一、总体情况</w:t>
      </w:r>
    </w:p>
    <w:p w14:paraId="53DF468D"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年，青阳县坚持以群众期待为导向，有力推动新时代政务公开工作全面深入发展，主动公开政府信息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17968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条，召开新闻发布会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场，举办政府开放日活动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场，开展在线访谈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期。</w:t>
      </w:r>
    </w:p>
    <w:p w14:paraId="6D5E70F8">
      <w:pPr>
        <w:spacing w:line="560" w:lineRule="exact"/>
        <w:ind w:firstLine="643" w:firstLineChars="200"/>
        <w:jc w:val="both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（一）主动公开</w:t>
      </w:r>
    </w:p>
    <w:p w14:paraId="148F9DA9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聚焦重点任务，提升公开质量。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加强经济领域信息公开，助推营商环境优化，通过高质量发展、青阳县助企纾困服务等专栏，集中发布信息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425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条。压缩政策兑付时间，实现政策资金一键直达，兑付“免申即享”政策资金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982.65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万元，涉及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37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条政策，惠及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136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家企业。持续推进社会公益及重点民生领域信息公开，提升信息发布质量，强化信息发布时效性，发布教育医疗、稳岗就业、社会保险等信息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条。</w:t>
      </w:r>
    </w:p>
    <w:p w14:paraId="04778DEE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聚焦政策直达效果，建强政策解读平台。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开设“青阳县政策解读专题”按照涉企、涉民、行政治理分类，从负责人和专家、部门、媒体角度集成式展示文字、图片、视频动漫等多种形式解读，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年共发布政策解读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篇。举办芙蓉湖畔“青听会”活动，畅通企业诉求表达渠道，发挥政策专员纽带作用，提供“一企一策”定向咨询服务，累计举办“青听会”活动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场，现场解决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140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家企业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251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个问题。</w:t>
      </w:r>
    </w:p>
    <w:p w14:paraId="7D749CAB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聚焦村务公开，持续推进基层“两化”。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提升县本级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个试点领域与乡镇政府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个试点领域基层政务公开水平，保持有效信息常态化更新。以村级信息公开查阅点为抓手推进政务公开向村（居）延伸，利用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110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个查阅点打通村务公开末梢神经，实现信息传递零距离。积极落实“四议两公开”制度，大力推行阳光村务建设，扩大村民参与度，实现村务公开示范点连片效应。</w:t>
      </w:r>
    </w:p>
    <w:p w14:paraId="6BDB7D9B">
      <w:pPr>
        <w:spacing w:line="560" w:lineRule="exact"/>
        <w:ind w:firstLine="643" w:firstLineChars="200"/>
        <w:jc w:val="both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（二）依申请公开</w:t>
      </w:r>
    </w:p>
    <w:p w14:paraId="3922EB6A"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年，全县受理政府信息公开申请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52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件，依法办结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48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件，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件结转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年办结。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件回复被提起行政复议（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件结果维持、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件尚未审结）。</w:t>
      </w:r>
    </w:p>
    <w:p w14:paraId="29680317">
      <w:pPr>
        <w:spacing w:line="560" w:lineRule="exact"/>
        <w:ind w:firstLine="643" w:firstLineChars="200"/>
        <w:jc w:val="both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（三）政府信息管理</w:t>
      </w:r>
    </w:p>
    <w:p w14:paraId="4AB2E3A0"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动态更新规范性文件清理结果，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年全县废止失效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件、新增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件，目前现行有效行政规范性文件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43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件。积极开展历史信息清理工作，全面清理无关、无效、无需长期保留的信息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1200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余条。</w:t>
      </w:r>
    </w:p>
    <w:p w14:paraId="5EC879E6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（四）政府信息公开平台建设</w:t>
      </w:r>
    </w:p>
    <w:p w14:paraId="462B34AA"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加强政府信息公开专题专栏建设，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年新开设“青阳县政府开放日活动”“民有所呼我有所应”等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个专题，升级优化政府公报、行政权力运行等专栏。严格政务新媒体管理，关停关注度低、缺乏原创信息政务新媒体账号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个。</w:t>
      </w:r>
    </w:p>
    <w:p w14:paraId="38C234D4">
      <w:pPr>
        <w:spacing w:line="560" w:lineRule="exact"/>
        <w:ind w:firstLine="643" w:firstLineChars="200"/>
        <w:jc w:val="both"/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（五）监督保障</w:t>
      </w:r>
    </w:p>
    <w:p w14:paraId="7DF14841"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制定印发《青阳县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年政务公开重点工作清单》，将政务公开纳入年度综合绩效考核体系。举办现场交流、集中办公、工作推进暨业务培训会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次，不定期开展“新人小课堂”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余次。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年政务公开工作无社会负面评议、未发生责任追究情况。</w:t>
      </w:r>
    </w:p>
    <w:p w14:paraId="4E45CC49"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二、主动公开政府信息情况</w:t>
      </w:r>
    </w:p>
    <w:tbl>
      <w:tblPr>
        <w:tblStyle w:val="6"/>
        <w:tblW w:w="974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77BF0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473C659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第二十条第（一）项</w:t>
            </w:r>
          </w:p>
        </w:tc>
      </w:tr>
      <w:tr w14:paraId="589F9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0FB99B7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39B4E3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1296C5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CE7D40D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现行有效件数</w:t>
            </w:r>
          </w:p>
        </w:tc>
      </w:tr>
      <w:tr w14:paraId="0AAB1A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BF9CAD0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DA9727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44AE6F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938F23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60ECA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96CD627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E99783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81421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22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CF367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43</w:t>
            </w:r>
          </w:p>
        </w:tc>
      </w:tr>
      <w:tr w14:paraId="35A8C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FCEA799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第二十条第（五）项</w:t>
            </w:r>
          </w:p>
        </w:tc>
      </w:tr>
      <w:tr w14:paraId="07FE7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88D43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D32D6B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本年处理决定数量</w:t>
            </w:r>
          </w:p>
        </w:tc>
      </w:tr>
      <w:tr w14:paraId="3E219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219FB41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52A40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18577</w:t>
            </w:r>
          </w:p>
        </w:tc>
      </w:tr>
      <w:tr w14:paraId="56CD5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15270943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第二十条第（六）项</w:t>
            </w:r>
          </w:p>
        </w:tc>
      </w:tr>
      <w:tr w14:paraId="5CB1B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E90FA91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83961C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本年处理决定数量</w:t>
            </w:r>
          </w:p>
        </w:tc>
      </w:tr>
      <w:tr w14:paraId="1E1E9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A59F65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F7185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69738</w:t>
            </w:r>
          </w:p>
        </w:tc>
      </w:tr>
      <w:tr w14:paraId="769F61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05CA3DC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BD21DC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1898</w:t>
            </w:r>
          </w:p>
        </w:tc>
      </w:tr>
      <w:tr w14:paraId="372AFB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A130919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第二十条第（八）项</w:t>
            </w:r>
          </w:p>
        </w:tc>
      </w:tr>
      <w:tr w14:paraId="261AB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E746C4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 w14:paraId="48DFE99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本年收费金额（单位：万元）</w:t>
            </w:r>
          </w:p>
        </w:tc>
      </w:tr>
      <w:tr w14:paraId="0BC2D3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163BC9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 w14:paraId="35F617C1">
            <w:pPr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lang w:val="en-US" w:eastAsia="zh-CN"/>
              </w:rPr>
              <w:t>2396</w:t>
            </w:r>
          </w:p>
        </w:tc>
      </w:tr>
    </w:tbl>
    <w:p w14:paraId="27B3502A"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三、收到和处理政府信息公开申请情况</w:t>
      </w: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3FDE68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DE81F67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楷体" w:cs="Times New Roman"/>
                <w:color w:val="auto"/>
                <w:kern w:val="0"/>
                <w:sz w:val="20"/>
                <w:szCs w:val="20"/>
                <w:lang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6772D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申请人情况</w:t>
            </w:r>
          </w:p>
        </w:tc>
      </w:tr>
      <w:tr w14:paraId="7AFE72E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3A950F8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CCC305E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8087364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85D15E7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总计</w:t>
            </w:r>
          </w:p>
        </w:tc>
      </w:tr>
      <w:tr w14:paraId="31E258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321AD71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54F184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9246EF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商业</w:t>
            </w:r>
          </w:p>
          <w:p w14:paraId="610E2975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企业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A14E5D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科研</w:t>
            </w:r>
          </w:p>
          <w:p w14:paraId="04CA81B3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5055659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47FB009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9B762D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16E9F4D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</w:tr>
      <w:tr w14:paraId="68D323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6D01B57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CABAFA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52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14A0F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0F4D52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B4B6A4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DCF2D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11D23B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B54125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52</w:t>
            </w:r>
          </w:p>
        </w:tc>
      </w:tr>
      <w:tr w14:paraId="71D20D1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1DA85E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905449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5C2FFA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8B81A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55DA4E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2DCC20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88199C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1F6F4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28EEA7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1A1EA94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A6CCE96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999236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27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06EB3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3570D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757C27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A26A65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F792E6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F4ECC1F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27</w:t>
            </w:r>
          </w:p>
        </w:tc>
      </w:tr>
      <w:tr w14:paraId="3AEBA9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E30E05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791D489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（二）部分公开</w:t>
            </w:r>
            <w:r>
              <w:rPr>
                <w:rFonts w:hint="default" w:ascii="Times New Roman" w:hAnsi="Times New Roman" w:eastAsia="楷体" w:cs="Times New Roman"/>
                <w:color w:val="auto"/>
                <w:kern w:val="0"/>
                <w:sz w:val="20"/>
                <w:szCs w:val="20"/>
                <w:lang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2220E1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818112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5C480D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F84AE5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35D81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984B97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5E68BA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5</w:t>
            </w:r>
          </w:p>
        </w:tc>
      </w:tr>
      <w:tr w14:paraId="6D4D704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C8B2860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C22FCD0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C981F50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ADC0D7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318FE8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3AD734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2BAD01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081ACB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A1565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9B875A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51DC8B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9C2D42C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49BE44F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E99D49A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95616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84568F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A836EC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683F9F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34D36F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239BB5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623BB7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719E2B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5441F89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0E57882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D16E3A6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294E06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8E99DA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BC0CF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282DA4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85635B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CB200C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994795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227D04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C0F6B0D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67F5963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CEAE0BD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F1983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EBD18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9BF3EE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18564E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7F6590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C893D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379BB3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0093A2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051612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38D7607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1B08587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514AF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BFFA5B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EB93AC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327A1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08716C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09FFB8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A83E46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1</w:t>
            </w:r>
          </w:p>
        </w:tc>
      </w:tr>
      <w:tr w14:paraId="4B187E2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6F83A54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391A687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9A5CB24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054AD1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D3AECC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20ECC4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EBE56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E9614B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63ABA9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0AF7E3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10ECCE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8C25324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13A112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46F02EA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16121D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AE98C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1FCBC7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577E1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6C1BA8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F18BB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4CBEB4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1C422E2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6E8BB1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FA8680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8F86DD9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A784C5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266BE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A82E54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A2751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6FDF59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06DFD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DD5A6D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63BD10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85C513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DFF42A3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04A353D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9C350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13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B98D18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7C2A59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87D9C0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0803A7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F9896A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2D9CF0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13</w:t>
            </w:r>
          </w:p>
        </w:tc>
      </w:tr>
      <w:tr w14:paraId="20BCEC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324D269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71F0EF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F409222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05C04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C7662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EF1A78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EA6569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315FEA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B1A6E4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7D6B1B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1C158A4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FB9DF22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D5FD76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331BFFE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C5A132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DA2C5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6F3D3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6D1C3E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08F14A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B26B23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2A80C1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0B6013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2FA997E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9078D4C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16CE80E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3777D1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AA52F5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2911C4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BF809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468308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90612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E9EA89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197A7D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A8BB9BE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EC673E7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104A1DB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A8CD1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B92BAF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FA843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9BC5F9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83F897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5ABFB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72FDC8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5F35F4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2C312A5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603116D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C947EA8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0C2015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5EE98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D3F39B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A1B2D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327D59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23657B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A3F67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1B72E9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1A6549A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23DCF17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FC2AFF5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480A8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CBF9EE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C9DE8C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FF645C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995ABA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7718C5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FBD158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1CB921F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FEBE12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1E68E6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A99D6A7">
            <w:pPr>
              <w:widowControl/>
              <w:spacing w:line="560" w:lineRule="exac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8106D7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67644C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D0A4FD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E1BCCE2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DE421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4F62AC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EF33EB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500DC1A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0DDB57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A72EAC2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EFA57DC">
            <w:pPr>
              <w:widowControl/>
              <w:spacing w:line="560" w:lineRule="exac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8920EA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457F7F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A08110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BBA90F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236AD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897722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209E2A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2</w:t>
            </w:r>
          </w:p>
        </w:tc>
      </w:tr>
      <w:tr w14:paraId="3C780F9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C56BCD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6EEC951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171513">
            <w:pPr>
              <w:widowControl/>
              <w:spacing w:line="560" w:lineRule="exac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A0D25C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01194F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86544B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FF2B97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8E988E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C1860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247E13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32C147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B25697A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856E009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5DE1B42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3C7715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958578B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8C8391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39291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E037D2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23F2E8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5975A68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</w:tr>
      <w:tr w14:paraId="2ABA51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0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8685078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35F953F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83E0FA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48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B9CEE7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F9F424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86BD6E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E23F9E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41651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E7A525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48</w:t>
            </w:r>
          </w:p>
        </w:tc>
      </w:tr>
      <w:tr w14:paraId="6575AE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7F1E299"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3D8229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C14A1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4E137E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033E41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2A7A3BF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1D84DCF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30741CD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lang w:val="en-US" w:eastAsia="zh-CN"/>
              </w:rPr>
              <w:t>4</w:t>
            </w:r>
          </w:p>
        </w:tc>
      </w:tr>
    </w:tbl>
    <w:p w14:paraId="5741BB4E"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四、政府信息公开行政复议、行政诉讼情况</w:t>
      </w: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76C190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D28F6D0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AED8D94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行政诉讼</w:t>
            </w:r>
          </w:p>
        </w:tc>
      </w:tr>
      <w:tr w14:paraId="67CF3C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0187630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37F3B4D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B70B52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其他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7587E1C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尚未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AA1A14D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AAC7CF0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A4E57EE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复议后起诉</w:t>
            </w:r>
          </w:p>
        </w:tc>
      </w:tr>
      <w:tr w14:paraId="7409D0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E7C11A2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CCA46D3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59FACD0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45A73BA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B85A094">
            <w:pPr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C00AE2B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A5B4D08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E08D2EA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其他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9B305C7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尚未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6B005EC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E60465D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3145BC4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7F4273C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其他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AD0BDA2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尚未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BB6E131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0"/>
                <w:szCs w:val="20"/>
                <w:lang w:bidi="ar"/>
              </w:rPr>
              <w:t>总计</w:t>
            </w:r>
          </w:p>
        </w:tc>
      </w:tr>
      <w:tr w14:paraId="45DB64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16175E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3069D74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CF944D1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66BF476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A2F37B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EF90C35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BA54BA9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883D1DE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F7F4132"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425572D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bidi="ar"/>
              </w:rPr>
              <w:t> 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42A1BC0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9214CE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0FCDDC3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F720549"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EC9881F">
            <w:pPr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54273485">
      <w:pPr>
        <w:spacing w:line="560" w:lineRule="exact"/>
        <w:ind w:firstLine="640" w:firstLineChars="200"/>
        <w:jc w:val="both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五、存在的主要问题及改进情况</w:t>
      </w:r>
    </w:p>
    <w:p w14:paraId="63B3EBB2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（一）存在的主要问题</w:t>
      </w:r>
    </w:p>
    <w:p w14:paraId="293A69DC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政务公开队伍建设有待加强，</w:t>
      </w: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政府信息管理的质量和水平需要提高，</w:t>
      </w: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政策宣传解读效果不够广泛。</w:t>
      </w:r>
    </w:p>
    <w:p w14:paraId="6517449A">
      <w:pPr>
        <w:numPr>
          <w:ilvl w:val="0"/>
          <w:numId w:val="0"/>
        </w:num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（二）改进情况</w:t>
      </w:r>
    </w:p>
    <w:p w14:paraId="561AD53C">
      <w:pPr>
        <w:numPr>
          <w:ilvl w:val="0"/>
          <w:numId w:val="0"/>
        </w:num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一是持续优化基层政务公开队伍建设。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推动基层持续完善落实政务公开工作体制，加大政务公开工作人员培训力度，不断提升基层工作人员业务能力和水平。</w:t>
      </w:r>
    </w:p>
    <w:p w14:paraId="7B00D22F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二是着力强化政府信息管理力度。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聚焦群众和市场主体需求，升级网站平台建设、优化调整主动公开目录、严格落实信息发布“三审制”，全面提升政府信息公开质量和效果。</w:t>
      </w:r>
    </w:p>
    <w:p w14:paraId="3BC794FD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lang w:val="en-US" w:eastAsia="zh-CN"/>
        </w:rPr>
        <w:t>三是高质量做好政策解读宣传工作。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进一步规范解读程序，加强解读材料审核，鼓励部门与乡镇开动脑筋创新思维，通过新闻发布会、在线访谈等方式开展负责人解读，积极参加省市优秀政策解读评选活动，全面提升政策解读宣传效果。</w:t>
      </w:r>
    </w:p>
    <w:p w14:paraId="5AA5A2CB">
      <w:pPr>
        <w:spacing w:line="560" w:lineRule="exact"/>
        <w:ind w:firstLine="640" w:firstLineChars="200"/>
        <w:jc w:val="both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六、其他需要报告的事项</w:t>
      </w:r>
    </w:p>
    <w:p w14:paraId="791E0A6F">
      <w:pPr>
        <w:numPr>
          <w:ilvl w:val="0"/>
          <w:numId w:val="0"/>
        </w:num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（一）政府信息公开收取信息处理费情况。</w:t>
      </w:r>
    </w:p>
    <w:p w14:paraId="70D12CAA"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按照《国务院办公厅关于印发〈政府信息公开信息处理费管理办法〉的通知》（国办函〔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2020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〕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109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号）规定的按件、按量收费标准，本年度没有产生信息公开处理费。</w:t>
      </w:r>
    </w:p>
    <w:p w14:paraId="3BADDB4E">
      <w:pPr>
        <w:spacing w:line="560" w:lineRule="exact"/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 w:val="0"/>
          <w:color w:val="auto"/>
          <w:sz w:val="32"/>
          <w:szCs w:val="32"/>
          <w:lang w:val="en-US" w:eastAsia="zh-CN"/>
        </w:rPr>
        <w:t>（二）政府开放日主题活动开展情况。</w:t>
      </w:r>
    </w:p>
    <w:p w14:paraId="4463AE5C"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为进一步丰富政务公开形式，拓展政企政民互动途径，青阳县主动从企业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群众的需求出发，推出政府开放日主题活动模式。县营商办、教体局、人社局、民政局、市场监管局等部门围绕公众关切和热点民生事项，共开展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期政府开放日主题活动。主动邀请社会公众代表、媒体记者走进行政机关、深入内部流程、体验政府工作，为广大人民群众解读企业税费优惠、中高考食品安全保障、高校毕业生就业等惠民利企政策。促进政企政民互动“零距离”，切实保障企业群众的知情权、表达权、参与权和监督权，展示为民、务实的政府形象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0397AD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3A7545C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560909"/>
    <w:rsid w:val="00CB77BE"/>
    <w:rsid w:val="0178625E"/>
    <w:rsid w:val="019F68BD"/>
    <w:rsid w:val="03A25C0B"/>
    <w:rsid w:val="058A3F00"/>
    <w:rsid w:val="072D6233"/>
    <w:rsid w:val="076D7821"/>
    <w:rsid w:val="07F21E11"/>
    <w:rsid w:val="0BDE0CED"/>
    <w:rsid w:val="0D193EB1"/>
    <w:rsid w:val="0EBD5B29"/>
    <w:rsid w:val="10D94FCD"/>
    <w:rsid w:val="10E24DDC"/>
    <w:rsid w:val="11C414F4"/>
    <w:rsid w:val="12A7252C"/>
    <w:rsid w:val="14CB3DD9"/>
    <w:rsid w:val="17F81389"/>
    <w:rsid w:val="1A074F99"/>
    <w:rsid w:val="1A5B1477"/>
    <w:rsid w:val="1EB05C9E"/>
    <w:rsid w:val="1F132604"/>
    <w:rsid w:val="20983709"/>
    <w:rsid w:val="21B021A4"/>
    <w:rsid w:val="22922FC6"/>
    <w:rsid w:val="22A275F1"/>
    <w:rsid w:val="26437C73"/>
    <w:rsid w:val="2BB239DF"/>
    <w:rsid w:val="2CAC0AE7"/>
    <w:rsid w:val="2DFA2FBF"/>
    <w:rsid w:val="2E842BC8"/>
    <w:rsid w:val="30BC227B"/>
    <w:rsid w:val="33540C46"/>
    <w:rsid w:val="391B682D"/>
    <w:rsid w:val="3AE97441"/>
    <w:rsid w:val="3B870ABB"/>
    <w:rsid w:val="3B8C79FA"/>
    <w:rsid w:val="3CD46556"/>
    <w:rsid w:val="3D000214"/>
    <w:rsid w:val="3E1C14D6"/>
    <w:rsid w:val="3ECB056B"/>
    <w:rsid w:val="3EE66C24"/>
    <w:rsid w:val="3EF21DDE"/>
    <w:rsid w:val="3FBF06AA"/>
    <w:rsid w:val="400B379F"/>
    <w:rsid w:val="403E0E22"/>
    <w:rsid w:val="407D7357"/>
    <w:rsid w:val="422C3859"/>
    <w:rsid w:val="42A86F9E"/>
    <w:rsid w:val="43CE7A86"/>
    <w:rsid w:val="45A457D5"/>
    <w:rsid w:val="46222FA9"/>
    <w:rsid w:val="49FE3D2D"/>
    <w:rsid w:val="4A733146"/>
    <w:rsid w:val="4B415A6E"/>
    <w:rsid w:val="4C821871"/>
    <w:rsid w:val="4CEF756D"/>
    <w:rsid w:val="4F5B38F3"/>
    <w:rsid w:val="500828E1"/>
    <w:rsid w:val="50CD4459"/>
    <w:rsid w:val="51786173"/>
    <w:rsid w:val="527A02DF"/>
    <w:rsid w:val="52803DC7"/>
    <w:rsid w:val="55244E6A"/>
    <w:rsid w:val="578A4E52"/>
    <w:rsid w:val="5AF90E11"/>
    <w:rsid w:val="5B060C94"/>
    <w:rsid w:val="5DAA3F1C"/>
    <w:rsid w:val="5E987E55"/>
    <w:rsid w:val="5F4D2D16"/>
    <w:rsid w:val="604862DC"/>
    <w:rsid w:val="624C1682"/>
    <w:rsid w:val="63D03A5D"/>
    <w:rsid w:val="63FC4110"/>
    <w:rsid w:val="67674868"/>
    <w:rsid w:val="67F635E8"/>
    <w:rsid w:val="6C681BB7"/>
    <w:rsid w:val="6F930967"/>
    <w:rsid w:val="70716758"/>
    <w:rsid w:val="71AC4C72"/>
    <w:rsid w:val="727147ED"/>
    <w:rsid w:val="74D07EF1"/>
    <w:rsid w:val="760342F6"/>
    <w:rsid w:val="77EC0395"/>
    <w:rsid w:val="77F26966"/>
    <w:rsid w:val="78797216"/>
    <w:rsid w:val="78FA773F"/>
    <w:rsid w:val="7956298E"/>
    <w:rsid w:val="79953D52"/>
    <w:rsid w:val="7A085281"/>
    <w:rsid w:val="7BBF2A6D"/>
    <w:rsid w:val="7C426781"/>
    <w:rsid w:val="7CA54A6B"/>
    <w:rsid w:val="7D56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333333"/>
      <w:u w:val="none"/>
    </w:rPr>
  </w:style>
  <w:style w:type="character" w:styleId="10">
    <w:name w:val="Hyperlink"/>
    <w:basedOn w:val="7"/>
    <w:qFormat/>
    <w:uiPriority w:val="0"/>
    <w:rPr>
      <w:color w:val="212529"/>
      <w:u w:val="single"/>
    </w:rPr>
  </w:style>
  <w:style w:type="character" w:styleId="11">
    <w:name w:val="HTML Code"/>
    <w:basedOn w:val="7"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2">
    <w:name w:val="HTML Keyboard"/>
    <w:basedOn w:val="7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212529"/>
    </w:rPr>
  </w:style>
  <w:style w:type="character" w:styleId="13">
    <w:name w:val="HTML Sample"/>
    <w:basedOn w:val="7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4">
    <w:name w:val="hover15"/>
    <w:basedOn w:val="7"/>
    <w:qFormat/>
    <w:uiPriority w:val="0"/>
    <w:rPr>
      <w:shd w:val="clear" w:fill="EEEEEE"/>
    </w:rPr>
  </w:style>
  <w:style w:type="character" w:customStyle="1" w:styleId="15">
    <w:name w:val="old"/>
    <w:basedOn w:val="7"/>
    <w:qFormat/>
    <w:uiPriority w:val="0"/>
    <w:rPr>
      <w:color w:val="999999"/>
    </w:rPr>
  </w:style>
  <w:style w:type="character" w:customStyle="1" w:styleId="16">
    <w:name w:val="first-child"/>
    <w:basedOn w:val="7"/>
    <w:qFormat/>
    <w:uiPriority w:val="0"/>
  </w:style>
  <w:style w:type="character" w:customStyle="1" w:styleId="17">
    <w:name w:val="first-child1"/>
    <w:basedOn w:val="7"/>
    <w:qFormat/>
    <w:uiPriority w:val="0"/>
  </w:style>
  <w:style w:type="character" w:customStyle="1" w:styleId="18">
    <w:name w:val="new"/>
    <w:basedOn w:val="7"/>
    <w:qFormat/>
    <w:uiPriority w:val="0"/>
    <w:rPr>
      <w:color w:val="999999"/>
    </w:rPr>
  </w:style>
  <w:style w:type="character" w:customStyle="1" w:styleId="19">
    <w:name w:val="layui-this"/>
    <w:basedOn w:val="7"/>
    <w:qFormat/>
    <w:uiPriority w:val="0"/>
    <w:rPr>
      <w:bdr w:val="single" w:color="EEEEEE" w:sz="6" w:space="0"/>
      <w:shd w:val="clear" w:fill="FFFFFF"/>
    </w:rPr>
  </w:style>
  <w:style w:type="character" w:customStyle="1" w:styleId="20">
    <w:name w:val="focused"/>
    <w:basedOn w:val="7"/>
    <w:qFormat/>
    <w:uiPriority w:val="0"/>
    <w:rPr>
      <w:shd w:val="clear" w:fill="EEEEEE"/>
    </w:rPr>
  </w:style>
  <w:style w:type="character" w:customStyle="1" w:styleId="21">
    <w:name w:val="hover"/>
    <w:basedOn w:val="7"/>
    <w:qFormat/>
    <w:uiPriority w:val="0"/>
    <w:rPr>
      <w:shd w:val="clear" w:fill="EEEEE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2783</Words>
  <Characters>2937</Characters>
  <Lines>0</Lines>
  <Paragraphs>0</Paragraphs>
  <TotalTime>0</TotalTime>
  <ScaleCrop>false</ScaleCrop>
  <LinksUpToDate>false</LinksUpToDate>
  <CharactersWithSpaces>2947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2024-12-24T02:33:00Z</dcterms:created>
  <dc:creator>馒头馊了</dc:creator>
  <cp:lastModifiedBy>馒头馊了</cp:lastModifiedBy>
  <cp:lastPrinted>2025-02-14T02:20:00Z</cp:lastPrinted>
  <dcterms:modified xsi:type="dcterms:W3CDTF">2025-02-17T01:55:42Z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7FD9ADD8831A4B37BEFA4BFE350D1B75_13</vt:lpwstr>
  </property>
  <property fmtid="{D5CDD505-2E9C-101B-9397-08002B2CF9AE}" pid="4" name="KSOTemplateDocerSaveRecord">
    <vt:lpwstr>eyJoZGlkIjoiZWYwYTVjNDA0ZjIwODhjODliZDgxMTJiMWIyNjBlYzgiLCJ1c2VySWQiOiIzOTI3Nzg3OTAifQ==</vt:lpwstr>
  </property>
</Properties>
</file>