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黑体" w:eastAsia="方正小标宋简体"/>
          <w:sz w:val="44"/>
          <w:szCs w:val="44"/>
        </w:rPr>
      </w:pPr>
    </w:p>
    <w:p>
      <w:pPr>
        <w:spacing w:line="360" w:lineRule="auto"/>
        <w:jc w:val="center"/>
        <w:rPr>
          <w:rFonts w:ascii="方正小标宋简体" w:hAnsi="黑体" w:eastAsia="方正小标宋简体"/>
          <w:sz w:val="44"/>
          <w:szCs w:val="44"/>
        </w:rPr>
      </w:pPr>
    </w:p>
    <w:p>
      <w:pPr>
        <w:pStyle w:val="8"/>
      </w:pPr>
    </w:p>
    <w:p>
      <w:pPr>
        <w:pStyle w:val="53"/>
        <w:rPr>
          <w:rFonts w:ascii="黑体" w:eastAsia="黑体"/>
        </w:rPr>
      </w:pPr>
      <w:r>
        <w:rPr>
          <w:rFonts w:hint="eastAsia"/>
          <w:sz w:val="40"/>
        </w:rPr>
        <w:t>《青阳县“十四五”综合交通运输发展规划》</w:t>
      </w:r>
    </w:p>
    <w:p>
      <w:pPr>
        <w:spacing w:line="360" w:lineRule="auto"/>
      </w:pPr>
    </w:p>
    <w:p>
      <w:pPr>
        <w:pStyle w:val="8"/>
        <w:spacing w:before="0" w:line="360" w:lineRule="auto"/>
      </w:pPr>
    </w:p>
    <w:p>
      <w:pPr>
        <w:spacing w:line="360" w:lineRule="auto"/>
      </w:pPr>
    </w:p>
    <w:p>
      <w:pPr>
        <w:pStyle w:val="8"/>
        <w:spacing w:before="0" w:line="360" w:lineRule="auto"/>
      </w:pPr>
    </w:p>
    <w:p>
      <w:pPr>
        <w:spacing w:line="360" w:lineRule="auto"/>
      </w:pPr>
    </w:p>
    <w:p>
      <w:pPr>
        <w:pStyle w:val="8"/>
        <w:spacing w:before="0" w:line="360" w:lineRule="auto"/>
      </w:pPr>
    </w:p>
    <w:p>
      <w:pPr>
        <w:spacing w:line="360" w:lineRule="auto"/>
      </w:pPr>
    </w:p>
    <w:p>
      <w:pPr>
        <w:pStyle w:val="8"/>
        <w:tabs>
          <w:tab w:val="left" w:pos="5757"/>
        </w:tabs>
        <w:spacing w:before="0" w:line="360" w:lineRule="auto"/>
        <w:rPr>
          <w:rFonts w:hint="eastAsia" w:eastAsiaTheme="minorEastAsia"/>
          <w:lang w:eastAsia="zh-CN"/>
        </w:rPr>
      </w:pPr>
      <w:r>
        <w:rPr>
          <w:rFonts w:hint="eastAsia"/>
          <w:lang w:eastAsia="zh-CN"/>
        </w:rPr>
        <w:tab/>
      </w:r>
    </w:p>
    <w:p>
      <w:pPr>
        <w:spacing w:line="360" w:lineRule="auto"/>
      </w:pPr>
    </w:p>
    <w:p>
      <w:pPr>
        <w:pStyle w:val="8"/>
        <w:spacing w:before="0" w:line="360" w:lineRule="auto"/>
      </w:pPr>
    </w:p>
    <w:p>
      <w:pPr>
        <w:spacing w:line="360" w:lineRule="auto"/>
      </w:pPr>
    </w:p>
    <w:p>
      <w:pPr>
        <w:pStyle w:val="8"/>
        <w:spacing w:before="0" w:line="360" w:lineRule="auto"/>
      </w:pPr>
    </w:p>
    <w:p>
      <w:pPr>
        <w:spacing w:line="360" w:lineRule="auto"/>
      </w:pPr>
    </w:p>
    <w:p>
      <w:pPr>
        <w:pStyle w:val="8"/>
        <w:spacing w:before="0" w:line="360" w:lineRule="auto"/>
      </w:pPr>
    </w:p>
    <w:p>
      <w:pPr>
        <w:spacing w:line="360" w:lineRule="auto"/>
      </w:pPr>
    </w:p>
    <w:p>
      <w:pPr>
        <w:pStyle w:val="8"/>
        <w:tabs>
          <w:tab w:val="center" w:pos="4153"/>
          <w:tab w:val="left" w:pos="7237"/>
        </w:tabs>
        <w:spacing w:before="0" w:line="360" w:lineRule="auto"/>
        <w:jc w:val="left"/>
        <w:rPr>
          <w:rFonts w:ascii="仿宋" w:hAnsi="仿宋" w:eastAsia="仿宋"/>
          <w:b/>
          <w:bCs/>
          <w:sz w:val="28"/>
          <w:szCs w:val="28"/>
        </w:rPr>
      </w:pPr>
      <w:r>
        <w:rPr>
          <w:rFonts w:ascii="仿宋" w:hAnsi="仿宋" w:eastAsia="仿宋"/>
          <w:sz w:val="28"/>
          <w:szCs w:val="28"/>
        </w:rPr>
        <w:tab/>
      </w:r>
      <w:r>
        <w:rPr>
          <w:rFonts w:hint="eastAsia" w:ascii="仿宋" w:hAnsi="仿宋" w:eastAsia="仿宋"/>
          <w:b/>
          <w:bCs/>
          <w:sz w:val="28"/>
          <w:szCs w:val="28"/>
        </w:rPr>
        <w:t>青阳县交通运输局</w:t>
      </w:r>
      <w:r>
        <w:rPr>
          <w:rFonts w:ascii="仿宋" w:hAnsi="仿宋" w:eastAsia="仿宋"/>
          <w:b/>
          <w:bCs/>
          <w:sz w:val="28"/>
          <w:szCs w:val="28"/>
        </w:rPr>
        <w:tab/>
      </w:r>
    </w:p>
    <w:p>
      <w:pPr>
        <w:pStyle w:val="8"/>
        <w:spacing w:before="0" w:line="360" w:lineRule="auto"/>
        <w:jc w:val="center"/>
        <w:rPr>
          <w:rFonts w:ascii="仿宋" w:hAnsi="仿宋" w:eastAsia="仿宋"/>
          <w:b/>
          <w:bCs/>
          <w:sz w:val="28"/>
          <w:szCs w:val="28"/>
        </w:rPr>
      </w:pPr>
      <w:r>
        <w:rPr>
          <w:rFonts w:hint="eastAsia" w:ascii="仿宋" w:hAnsi="仿宋" w:eastAsia="仿宋"/>
          <w:b/>
          <w:bCs/>
          <w:sz w:val="28"/>
          <w:szCs w:val="28"/>
        </w:rPr>
        <w:t>华汇工程设计集团股份有限公司</w:t>
      </w:r>
    </w:p>
    <w:p>
      <w:pPr>
        <w:spacing w:line="360" w:lineRule="auto"/>
        <w:jc w:val="center"/>
        <w:rPr>
          <w:rFonts w:ascii="仿宋" w:hAnsi="仿宋" w:eastAsia="仿宋"/>
          <w:b/>
          <w:bCs/>
          <w:sz w:val="28"/>
          <w:szCs w:val="28"/>
        </w:rPr>
        <w:sectPr>
          <w:headerReference r:id="rId3" w:type="default"/>
          <w:footerReference r:id="rId4" w:type="default"/>
          <w:pgSz w:w="11906" w:h="16838"/>
          <w:pgMar w:top="1440" w:right="1800" w:bottom="1440" w:left="1800" w:header="851" w:footer="992" w:gutter="0"/>
          <w:pgNumType w:fmt="upperRoman" w:start="1"/>
          <w:cols w:space="425" w:num="1"/>
          <w:docGrid w:type="lines" w:linePitch="312" w:charSpace="0"/>
        </w:sectPr>
      </w:pPr>
      <w:r>
        <w:rPr>
          <w:rFonts w:hint="eastAsia" w:ascii="仿宋" w:hAnsi="仿宋" w:eastAsia="仿宋"/>
          <w:b/>
          <w:bCs/>
          <w:sz w:val="28"/>
          <w:szCs w:val="28"/>
        </w:rPr>
        <w:t>二〇二二年四月</w:t>
      </w:r>
    </w:p>
    <w:sdt>
      <w:sdtPr>
        <w:rPr>
          <w:rFonts w:ascii="TimesNewRomanPS-BoldMT" w:hAnsi="TimesNewRomanPS-BoldMT" w:cstheme="minorBidi"/>
          <w:b/>
          <w:bCs/>
          <w:smallCaps/>
          <w:kern w:val="2"/>
          <w:sz w:val="32"/>
          <w:szCs w:val="32"/>
          <w:lang w:val="zh-CN"/>
        </w:rPr>
        <w:id w:val="354630256"/>
        <w:docPartObj>
          <w:docPartGallery w:val="Table of Contents"/>
          <w:docPartUnique/>
        </w:docPartObj>
      </w:sdtPr>
      <w:sdtEndPr>
        <w:rPr>
          <w:rFonts w:hint="eastAsia" w:ascii="宋体" w:hAnsi="宋体" w:eastAsia="宋体" w:cstheme="minorBidi"/>
          <w:b w:val="0"/>
          <w:bCs w:val="0"/>
          <w:smallCaps/>
          <w:kern w:val="2"/>
          <w:sz w:val="32"/>
          <w:szCs w:val="32"/>
          <w:lang w:val="zh-CN"/>
        </w:rPr>
      </w:sdtEndPr>
      <w:sdtContent>
        <w:p>
          <w:pPr>
            <w:jc w:val="center"/>
            <w:rPr>
              <w:rFonts w:ascii="黑体" w:hAnsi="黑体" w:eastAsia="黑体"/>
              <w:sz w:val="36"/>
              <w:szCs w:val="36"/>
            </w:rPr>
          </w:pPr>
          <w:r>
            <w:rPr>
              <w:rFonts w:hint="eastAsia" w:ascii="TimesNewRomanPS-BoldMT" w:hAnsi="TimesNewRomanPS-BoldMT" w:cstheme="minorBidi"/>
              <w:b/>
              <w:bCs/>
              <w:smallCaps/>
              <w:kern w:val="2"/>
              <w:sz w:val="32"/>
              <w:szCs w:val="32"/>
              <w:lang w:val="zh-CN"/>
            </w:rPr>
            <w:t>目</w:t>
          </w:r>
          <w:r>
            <w:rPr>
              <w:rFonts w:ascii="黑体" w:hAnsi="黑体" w:eastAsia="黑体"/>
              <w:sz w:val="36"/>
              <w:szCs w:val="36"/>
            </w:rPr>
            <w:t>录</w:t>
          </w:r>
        </w:p>
        <w:p>
          <w:pPr>
            <w:pStyle w:val="17"/>
            <w:tabs>
              <w:tab w:val="right" w:leader="dot" w:pos="8296"/>
            </w:tabs>
            <w:rPr>
              <w:b w:val="0"/>
              <w:bCs w:val="0"/>
              <w:caps w:val="0"/>
              <w:sz w:val="21"/>
              <w:szCs w:val="22"/>
            </w:rPr>
          </w:pPr>
          <w:r>
            <w:rPr>
              <w:rFonts w:ascii="宋体" w:hAnsi="宋体" w:eastAsia="宋体"/>
              <w:caps w:val="0"/>
              <w:smallCaps/>
              <w:sz w:val="72"/>
              <w:szCs w:val="24"/>
            </w:rPr>
            <w:fldChar w:fldCharType="begin"/>
          </w:r>
          <w:r>
            <w:rPr>
              <w:rFonts w:ascii="宋体" w:hAnsi="宋体" w:eastAsia="宋体"/>
              <w:caps w:val="0"/>
              <w:smallCaps/>
              <w:sz w:val="72"/>
              <w:szCs w:val="24"/>
            </w:rPr>
            <w:instrText xml:space="preserve"> TOC \o "1-2" \h \z \t "标题 3,3,1.1.1,3" </w:instrText>
          </w:r>
          <w:r>
            <w:rPr>
              <w:rFonts w:ascii="宋体" w:hAnsi="宋体" w:eastAsia="宋体"/>
              <w:caps w:val="0"/>
              <w:smallCaps/>
              <w:sz w:val="72"/>
              <w:szCs w:val="24"/>
            </w:rPr>
            <w:fldChar w:fldCharType="separate"/>
          </w:r>
          <w:r>
            <w:fldChar w:fldCharType="begin"/>
          </w:r>
          <w:r>
            <w:instrText xml:space="preserve"> HYPERLINK \l "_Toc104537484" </w:instrText>
          </w:r>
          <w:r>
            <w:fldChar w:fldCharType="separate"/>
          </w:r>
          <w:r>
            <w:rPr>
              <w:rStyle w:val="29"/>
              <w:rFonts w:hint="eastAsia"/>
            </w:rPr>
            <w:t>前言</w:t>
          </w:r>
          <w:r>
            <w:tab/>
          </w:r>
          <w:r>
            <w:fldChar w:fldCharType="begin"/>
          </w:r>
          <w:r>
            <w:instrText xml:space="preserve"> PAGEREF _Toc104537484 \h </w:instrText>
          </w:r>
          <w:r>
            <w:fldChar w:fldCharType="separate"/>
          </w:r>
          <w:r>
            <w:t>1</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"_Toc104537485" </w:instrText>
          </w:r>
          <w:r>
            <w:fldChar w:fldCharType="separate"/>
          </w:r>
          <w:r>
            <w:rPr>
              <w:rStyle w:val="29"/>
              <w:rFonts w:hint="eastAsia"/>
            </w:rPr>
            <w:t>第一章</w:t>
          </w:r>
          <w:r>
            <w:rPr>
              <w:rStyle w:val="29"/>
            </w:rPr>
            <w:t xml:space="preserve"> </w:t>
          </w:r>
          <w:r>
            <w:rPr>
              <w:rStyle w:val="29"/>
              <w:rFonts w:hint="eastAsia"/>
            </w:rPr>
            <w:t>发展基础</w:t>
          </w:r>
          <w:r>
            <w:tab/>
          </w:r>
          <w:r>
            <w:fldChar w:fldCharType="begin"/>
          </w:r>
          <w:r>
            <w:instrText xml:space="preserve"> PAGEREF _Toc104537485 \h </w:instrText>
          </w:r>
          <w:r>
            <w:fldChar w:fldCharType="separate"/>
          </w:r>
          <w:r>
            <w:t>4</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"_Toc104537486" </w:instrText>
          </w:r>
          <w:r>
            <w:fldChar w:fldCharType="separate"/>
          </w:r>
          <w:r>
            <w:rPr>
              <w:rStyle w:val="29"/>
              <w:rFonts w:hint="eastAsia" w:cs="黑体"/>
            </w:rPr>
            <w:t>一、“十三五”发展成就</w:t>
          </w:r>
          <w:r>
            <w:tab/>
          </w:r>
          <w:r>
            <w:fldChar w:fldCharType="begin"/>
          </w:r>
          <w:r>
            <w:instrText xml:space="preserve"> PAGEREF _Toc104537486 \h </w:instrText>
          </w:r>
          <w:r>
            <w:fldChar w:fldCharType="separate"/>
          </w:r>
          <w:r>
            <w:t>4</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"_Toc104537487" </w:instrText>
          </w:r>
          <w:r>
            <w:fldChar w:fldCharType="separate"/>
          </w:r>
          <w:r>
            <w:rPr>
              <w:rStyle w:val="29"/>
              <w:rFonts w:hint="eastAsia" w:cs="黑体"/>
            </w:rPr>
            <w:t>二、存在问题</w:t>
          </w:r>
          <w:r>
            <w:tab/>
          </w:r>
          <w:r>
            <w:fldChar w:fldCharType="begin"/>
          </w:r>
          <w:r>
            <w:instrText xml:space="preserve"> PAGEREF _Toc104537487 \h </w:instrText>
          </w:r>
          <w:r>
            <w:fldChar w:fldCharType="separate"/>
          </w:r>
          <w:r>
            <w:t>6</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"_Toc104537488" </w:instrText>
          </w:r>
          <w:r>
            <w:fldChar w:fldCharType="separate"/>
          </w:r>
          <w:r>
            <w:rPr>
              <w:rStyle w:val="29"/>
              <w:rFonts w:hint="eastAsia"/>
            </w:rPr>
            <w:t>第二章</w:t>
          </w:r>
          <w:r>
            <w:rPr>
              <w:rStyle w:val="29"/>
            </w:rPr>
            <w:t xml:space="preserve"> </w:t>
          </w:r>
          <w:r>
            <w:rPr>
              <w:rStyle w:val="29"/>
              <w:rFonts w:hint="eastAsia"/>
            </w:rPr>
            <w:t>形势与要求</w:t>
          </w:r>
          <w:r>
            <w:tab/>
          </w:r>
          <w:r>
            <w:fldChar w:fldCharType="begin"/>
          </w:r>
          <w:r>
            <w:instrText xml:space="preserve"> PAGEREF _Toc104537488 \h </w:instrText>
          </w:r>
          <w:r>
            <w:fldChar w:fldCharType="separate"/>
          </w:r>
          <w:r>
            <w:t>7</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"_Toc104537489" </w:instrText>
          </w:r>
          <w:r>
            <w:fldChar w:fldCharType="separate"/>
          </w:r>
          <w:r>
            <w:rPr>
              <w:rStyle w:val="29"/>
              <w:rFonts w:hint="eastAsia"/>
            </w:rPr>
            <w:t>第三章</w:t>
          </w:r>
          <w:r>
            <w:rPr>
              <w:rStyle w:val="29"/>
            </w:rPr>
            <w:t xml:space="preserve"> </w:t>
          </w:r>
          <w:r>
            <w:rPr>
              <w:rStyle w:val="29"/>
              <w:rFonts w:hint="eastAsia"/>
            </w:rPr>
            <w:t>指导思想和规划目标</w:t>
          </w:r>
          <w:r>
            <w:tab/>
          </w:r>
          <w:r>
            <w:fldChar w:fldCharType="begin"/>
          </w:r>
          <w:r>
            <w:instrText xml:space="preserve"> PAGEREF _Toc104537489 \h </w:instrText>
          </w:r>
          <w:r>
            <w:fldChar w:fldCharType="separate"/>
          </w:r>
          <w:r>
            <w:t>9</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"_Toc104537490" </w:instrText>
          </w:r>
          <w:r>
            <w:fldChar w:fldCharType="separate"/>
          </w:r>
          <w:r>
            <w:rPr>
              <w:rStyle w:val="29"/>
              <w:rFonts w:hint="eastAsia"/>
            </w:rPr>
            <w:t>第四章</w:t>
          </w:r>
          <w:r>
            <w:rPr>
              <w:rStyle w:val="29"/>
            </w:rPr>
            <w:t xml:space="preserve"> </w:t>
          </w:r>
          <w:r>
            <w:rPr>
              <w:rStyle w:val="29"/>
              <w:rFonts w:hint="eastAsia"/>
            </w:rPr>
            <w:t>发展重点</w:t>
          </w:r>
          <w:r>
            <w:tab/>
          </w:r>
          <w:r>
            <w:fldChar w:fldCharType="begin"/>
          </w:r>
          <w:r>
            <w:instrText xml:space="preserve"> PAGEREF _Toc104537490 \h </w:instrText>
          </w:r>
          <w:r>
            <w:fldChar w:fldCharType="separate"/>
          </w:r>
          <w:r>
            <w:t>15</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"_Toc104537491" </w:instrText>
          </w:r>
          <w:r>
            <w:fldChar w:fldCharType="separate"/>
          </w:r>
          <w:r>
            <w:rPr>
              <w:rStyle w:val="29"/>
              <w:rFonts w:hint="eastAsia"/>
            </w:rPr>
            <w:t>一、发展格局突破创新</w:t>
          </w:r>
          <w:r>
            <w:tab/>
          </w:r>
          <w:r>
            <w:fldChar w:fldCharType="begin"/>
          </w:r>
          <w:r>
            <w:instrText xml:space="preserve"> PAGEREF _Toc104537491 \h </w:instrText>
          </w:r>
          <w:r>
            <w:fldChar w:fldCharType="separate"/>
          </w:r>
          <w:r>
            <w:t>15</w:t>
          </w:r>
          <w:r>
            <w:fldChar w:fldCharType="end"/>
          </w:r>
          <w:r>
            <w:fldChar w:fldCharType="end"/>
          </w:r>
        </w:p>
        <w:p>
          <w:pPr>
            <w:pStyle w:val="11"/>
            <w:tabs>
              <w:tab w:val="right" w:leader="dot" w:pos="8296"/>
            </w:tabs>
            <w:rPr>
              <w:iCs w:val="0"/>
              <w:sz w:val="21"/>
              <w:szCs w:val="22"/>
            </w:rPr>
          </w:pPr>
          <w:r>
            <w:fldChar w:fldCharType="begin"/>
          </w:r>
          <w:r>
            <w:instrText xml:space="preserve"> HYPERLINK \l "_Toc104537492" </w:instrText>
          </w:r>
          <w:r>
            <w:fldChar w:fldCharType="separate"/>
          </w:r>
          <w:r>
            <w:rPr>
              <w:rStyle w:val="29"/>
              <w:rFonts w:hint="eastAsia" w:ascii="黑体" w:hAnsi="黑体" w:cs="黑体"/>
            </w:rPr>
            <w:t>（一）构建发达高效的快速网</w:t>
          </w:r>
          <w:r>
            <w:tab/>
          </w:r>
          <w:r>
            <w:fldChar w:fldCharType="begin"/>
          </w:r>
          <w:r>
            <w:instrText xml:space="preserve"> PAGEREF _Toc104537492 \h </w:instrText>
          </w:r>
          <w:r>
            <w:fldChar w:fldCharType="separate"/>
          </w:r>
          <w:r>
            <w:t>15</w:t>
          </w:r>
          <w:r>
            <w:fldChar w:fldCharType="end"/>
          </w:r>
          <w:r>
            <w:fldChar w:fldCharType="end"/>
          </w:r>
        </w:p>
        <w:p>
          <w:pPr>
            <w:pStyle w:val="11"/>
            <w:tabs>
              <w:tab w:val="right" w:leader="dot" w:pos="8296"/>
            </w:tabs>
            <w:rPr>
              <w:iCs w:val="0"/>
              <w:sz w:val="21"/>
              <w:szCs w:val="22"/>
            </w:rPr>
          </w:pPr>
          <w:r>
            <w:fldChar w:fldCharType="begin"/>
          </w:r>
          <w:r>
            <w:instrText xml:space="preserve"> HYPERLINK \l "_Toc104537493" </w:instrText>
          </w:r>
          <w:r>
            <w:fldChar w:fldCharType="separate"/>
          </w:r>
          <w:r>
            <w:rPr>
              <w:rStyle w:val="29"/>
              <w:rFonts w:hint="eastAsia"/>
            </w:rPr>
            <w:t>（二）构建完善顺畅的干线网</w:t>
          </w:r>
          <w:r>
            <w:tab/>
          </w:r>
          <w:r>
            <w:fldChar w:fldCharType="begin"/>
          </w:r>
          <w:r>
            <w:instrText xml:space="preserve"> PAGEREF _Toc104537493 \h </w:instrText>
          </w:r>
          <w:r>
            <w:fldChar w:fldCharType="separate"/>
          </w:r>
          <w:r>
            <w:t>18</w:t>
          </w:r>
          <w:r>
            <w:fldChar w:fldCharType="end"/>
          </w:r>
          <w:r>
            <w:fldChar w:fldCharType="end"/>
          </w:r>
        </w:p>
        <w:p>
          <w:pPr>
            <w:pStyle w:val="11"/>
            <w:tabs>
              <w:tab w:val="right" w:leader="dot" w:pos="8296"/>
            </w:tabs>
            <w:rPr>
              <w:iCs w:val="0"/>
              <w:sz w:val="21"/>
              <w:szCs w:val="22"/>
            </w:rPr>
          </w:pPr>
          <w:r>
            <w:fldChar w:fldCharType="begin"/>
          </w:r>
          <w:r>
            <w:instrText xml:space="preserve"> HYPERLINK \l "_Toc104537494" </w:instrText>
          </w:r>
          <w:r>
            <w:fldChar w:fldCharType="separate"/>
          </w:r>
          <w:r>
            <w:rPr>
              <w:rStyle w:val="29"/>
              <w:rFonts w:hint="eastAsia"/>
            </w:rPr>
            <w:t>（三）构建广泛便捷的基础网</w:t>
          </w:r>
          <w:r>
            <w:tab/>
          </w:r>
          <w:r>
            <w:fldChar w:fldCharType="begin"/>
          </w:r>
          <w:r>
            <w:instrText xml:space="preserve"> PAGEREF _Toc104537494 \h </w:instrText>
          </w:r>
          <w:r>
            <w:fldChar w:fldCharType="separate"/>
          </w:r>
          <w:r>
            <w:t>22</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"_Toc104537495" </w:instrText>
          </w:r>
          <w:r>
            <w:fldChar w:fldCharType="separate"/>
          </w:r>
          <w:r>
            <w:rPr>
              <w:rStyle w:val="29"/>
              <w:rFonts w:hint="eastAsia"/>
            </w:rPr>
            <w:t>二、运输服务优质高效</w:t>
          </w:r>
          <w:r>
            <w:tab/>
          </w:r>
          <w:r>
            <w:fldChar w:fldCharType="begin"/>
          </w:r>
          <w:r>
            <w:instrText xml:space="preserve"> PAGEREF _Toc104537495 \h </w:instrText>
          </w:r>
          <w:r>
            <w:fldChar w:fldCharType="separate"/>
          </w:r>
          <w:r>
            <w:t>24</w:t>
          </w:r>
          <w:r>
            <w:fldChar w:fldCharType="end"/>
          </w:r>
          <w:r>
            <w:fldChar w:fldCharType="end"/>
          </w:r>
        </w:p>
        <w:p>
          <w:pPr>
            <w:pStyle w:val="11"/>
            <w:tabs>
              <w:tab w:val="right" w:leader="dot" w:pos="8296"/>
            </w:tabs>
            <w:rPr>
              <w:iCs w:val="0"/>
              <w:sz w:val="21"/>
              <w:szCs w:val="22"/>
            </w:rPr>
          </w:pPr>
          <w:r>
            <w:fldChar w:fldCharType="begin"/>
          </w:r>
          <w:r>
            <w:instrText xml:space="preserve"> HYPERLINK \l "_Toc104537496" </w:instrText>
          </w:r>
          <w:r>
            <w:fldChar w:fldCharType="separate"/>
          </w:r>
          <w:r>
            <w:rPr>
              <w:rStyle w:val="29"/>
              <w:rFonts w:hint="eastAsia"/>
            </w:rPr>
            <w:t>（一）构筑一体高效的客运枢纽体系</w:t>
          </w:r>
          <w:r>
            <w:tab/>
          </w:r>
          <w:r>
            <w:fldChar w:fldCharType="begin"/>
          </w:r>
          <w:r>
            <w:instrText xml:space="preserve"> PAGEREF _Toc104537496 \h </w:instrText>
          </w:r>
          <w:r>
            <w:fldChar w:fldCharType="separate"/>
          </w:r>
          <w:r>
            <w:t>24</w:t>
          </w:r>
          <w:r>
            <w:fldChar w:fldCharType="end"/>
          </w:r>
          <w:r>
            <w:fldChar w:fldCharType="end"/>
          </w:r>
        </w:p>
        <w:p>
          <w:pPr>
            <w:pStyle w:val="11"/>
            <w:tabs>
              <w:tab w:val="right" w:leader="dot" w:pos="8296"/>
            </w:tabs>
            <w:rPr>
              <w:iCs w:val="0"/>
              <w:sz w:val="21"/>
              <w:szCs w:val="22"/>
            </w:rPr>
          </w:pPr>
          <w:r>
            <w:fldChar w:fldCharType="begin"/>
          </w:r>
          <w:r>
            <w:instrText xml:space="preserve"> HYPERLINK \l "_Toc104537497" </w:instrText>
          </w:r>
          <w:r>
            <w:fldChar w:fldCharType="separate"/>
          </w:r>
          <w:r>
            <w:rPr>
              <w:rStyle w:val="29"/>
              <w:rFonts w:hint="eastAsia"/>
            </w:rPr>
            <w:t>（二）构建便捷舒适的客运服务体系</w:t>
          </w:r>
          <w:r>
            <w:tab/>
          </w:r>
          <w:r>
            <w:fldChar w:fldCharType="begin"/>
          </w:r>
          <w:r>
            <w:instrText xml:space="preserve"> PAGEREF _Toc104537497 \h </w:instrText>
          </w:r>
          <w:r>
            <w:fldChar w:fldCharType="separate"/>
          </w:r>
          <w:r>
            <w:t>24</w:t>
          </w:r>
          <w:r>
            <w:fldChar w:fldCharType="end"/>
          </w:r>
          <w:r>
            <w:fldChar w:fldCharType="end"/>
          </w:r>
        </w:p>
        <w:p>
          <w:pPr>
            <w:pStyle w:val="11"/>
            <w:tabs>
              <w:tab w:val="right" w:leader="dot" w:pos="8296"/>
            </w:tabs>
            <w:rPr>
              <w:iCs w:val="0"/>
              <w:sz w:val="21"/>
              <w:szCs w:val="22"/>
            </w:rPr>
          </w:pPr>
          <w:r>
            <w:fldChar w:fldCharType="begin"/>
          </w:r>
          <w:r>
            <w:instrText xml:space="preserve"> HYPERLINK \l "_Toc104537498" </w:instrText>
          </w:r>
          <w:r>
            <w:fldChar w:fldCharType="separate"/>
          </w:r>
          <w:r>
            <w:rPr>
              <w:rStyle w:val="29"/>
              <w:rFonts w:hint="eastAsia"/>
            </w:rPr>
            <w:t>（三）构建经济高效的货运物流体系</w:t>
          </w:r>
          <w:r>
            <w:tab/>
          </w:r>
          <w:r>
            <w:fldChar w:fldCharType="begin"/>
          </w:r>
          <w:r>
            <w:instrText xml:space="preserve"> PAGEREF _Toc104537498 \h </w:instrText>
          </w:r>
          <w:r>
            <w:fldChar w:fldCharType="separate"/>
          </w:r>
          <w:r>
            <w:t>25</w:t>
          </w:r>
          <w:r>
            <w:fldChar w:fldCharType="end"/>
          </w:r>
          <w:r>
            <w:fldChar w:fldCharType="end"/>
          </w:r>
        </w:p>
        <w:p>
          <w:pPr>
            <w:pStyle w:val="11"/>
            <w:tabs>
              <w:tab w:val="right" w:leader="dot" w:pos="8296"/>
            </w:tabs>
            <w:rPr>
              <w:iCs w:val="0"/>
              <w:sz w:val="21"/>
              <w:szCs w:val="22"/>
            </w:rPr>
          </w:pPr>
          <w:r>
            <w:fldChar w:fldCharType="begin"/>
          </w:r>
          <w:r>
            <w:instrText xml:space="preserve"> HYPERLINK \l "_Toc104537499" </w:instrText>
          </w:r>
          <w:r>
            <w:fldChar w:fldCharType="separate"/>
          </w:r>
          <w:r>
            <w:rPr>
              <w:rStyle w:val="29"/>
              <w:rFonts w:hint="eastAsia"/>
            </w:rPr>
            <w:t>（四）构建高效畅联的邮政快递体系</w:t>
          </w:r>
          <w:r>
            <w:tab/>
          </w:r>
          <w:r>
            <w:fldChar w:fldCharType="begin"/>
          </w:r>
          <w:r>
            <w:instrText xml:space="preserve"> PAGEREF _Toc104537499 \h </w:instrText>
          </w:r>
          <w:r>
            <w:fldChar w:fldCharType="separate"/>
          </w:r>
          <w:r>
            <w:t>26</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"_Toc104537500" </w:instrText>
          </w:r>
          <w:r>
            <w:fldChar w:fldCharType="separate"/>
          </w:r>
          <w:r>
            <w:rPr>
              <w:rStyle w:val="29"/>
              <w:rFonts w:hint="eastAsia"/>
            </w:rPr>
            <w:t>三、智慧交通创新应用</w:t>
          </w:r>
          <w:r>
            <w:tab/>
          </w:r>
          <w:r>
            <w:fldChar w:fldCharType="begin"/>
          </w:r>
          <w:r>
            <w:instrText xml:space="preserve"> PAGEREF _Toc104537500 \h </w:instrText>
          </w:r>
          <w:r>
            <w:fldChar w:fldCharType="separate"/>
          </w:r>
          <w:r>
            <w:t>27</w:t>
          </w:r>
          <w:r>
            <w:fldChar w:fldCharType="end"/>
          </w:r>
          <w:r>
            <w:fldChar w:fldCharType="end"/>
          </w:r>
        </w:p>
        <w:p>
          <w:pPr>
            <w:pStyle w:val="11"/>
            <w:tabs>
              <w:tab w:val="right" w:leader="dot" w:pos="8296"/>
            </w:tabs>
            <w:rPr>
              <w:iCs w:val="0"/>
              <w:sz w:val="21"/>
              <w:szCs w:val="22"/>
            </w:rPr>
          </w:pPr>
          <w:r>
            <w:fldChar w:fldCharType="begin"/>
          </w:r>
          <w:r>
            <w:instrText xml:space="preserve"> HYPERLINK \l "_Toc104537501" </w:instrText>
          </w:r>
          <w:r>
            <w:fldChar w:fldCharType="separate"/>
          </w:r>
          <w:r>
            <w:rPr>
              <w:rStyle w:val="29"/>
              <w:rFonts w:hint="eastAsia"/>
            </w:rPr>
            <w:t>（一）夯实集约高效的信息基础设施</w:t>
          </w:r>
          <w:r>
            <w:tab/>
          </w:r>
          <w:r>
            <w:fldChar w:fldCharType="begin"/>
          </w:r>
          <w:r>
            <w:instrText xml:space="preserve"> PAGEREF _Toc104537501 \h </w:instrText>
          </w:r>
          <w:r>
            <w:fldChar w:fldCharType="separate"/>
          </w:r>
          <w:r>
            <w:t>27</w:t>
          </w:r>
          <w:r>
            <w:fldChar w:fldCharType="end"/>
          </w:r>
          <w:r>
            <w:fldChar w:fldCharType="end"/>
          </w:r>
        </w:p>
        <w:p>
          <w:pPr>
            <w:pStyle w:val="11"/>
            <w:tabs>
              <w:tab w:val="right" w:leader="dot" w:pos="8296"/>
            </w:tabs>
            <w:rPr>
              <w:iCs w:val="0"/>
              <w:sz w:val="21"/>
              <w:szCs w:val="22"/>
            </w:rPr>
          </w:pPr>
          <w:r>
            <w:fldChar w:fldCharType="begin"/>
          </w:r>
          <w:r>
            <w:instrText xml:space="preserve"> HYPERLINK \l "_Toc104537502" </w:instrText>
          </w:r>
          <w:r>
            <w:fldChar w:fldCharType="separate"/>
          </w:r>
          <w:r>
            <w:rPr>
              <w:rStyle w:val="29"/>
              <w:rFonts w:hint="eastAsia"/>
            </w:rPr>
            <w:t>（二）建设统一共享的数据资源体系</w:t>
          </w:r>
          <w:r>
            <w:tab/>
          </w:r>
          <w:r>
            <w:fldChar w:fldCharType="begin"/>
          </w:r>
          <w:r>
            <w:instrText xml:space="preserve"> PAGEREF _Toc104537502 \h </w:instrText>
          </w:r>
          <w:r>
            <w:fldChar w:fldCharType="separate"/>
          </w:r>
          <w:r>
            <w:t>27</w:t>
          </w:r>
          <w:r>
            <w:fldChar w:fldCharType="end"/>
          </w:r>
          <w:r>
            <w:fldChar w:fldCharType="end"/>
          </w:r>
        </w:p>
        <w:p>
          <w:pPr>
            <w:pStyle w:val="11"/>
            <w:tabs>
              <w:tab w:val="right" w:leader="dot" w:pos="8296"/>
            </w:tabs>
            <w:rPr>
              <w:iCs w:val="0"/>
              <w:sz w:val="21"/>
              <w:szCs w:val="22"/>
            </w:rPr>
          </w:pPr>
          <w:r>
            <w:fldChar w:fldCharType="begin"/>
          </w:r>
          <w:r>
            <w:instrText xml:space="preserve"> HYPERLINK \l "_Toc104537503" </w:instrText>
          </w:r>
          <w:r>
            <w:fldChar w:fldCharType="separate"/>
          </w:r>
          <w:r>
            <w:rPr>
              <w:rStyle w:val="29"/>
              <w:rFonts w:hint="eastAsia"/>
            </w:rPr>
            <w:t>（三）打造行业治理信息化创新格局</w:t>
          </w:r>
          <w:r>
            <w:tab/>
          </w:r>
          <w:r>
            <w:fldChar w:fldCharType="begin"/>
          </w:r>
          <w:r>
            <w:instrText xml:space="preserve"> PAGEREF _Toc104537503 \h </w:instrText>
          </w:r>
          <w:r>
            <w:fldChar w:fldCharType="separate"/>
          </w:r>
          <w:r>
            <w:t>27</w:t>
          </w:r>
          <w:r>
            <w:fldChar w:fldCharType="end"/>
          </w:r>
          <w:r>
            <w:fldChar w:fldCharType="end"/>
          </w:r>
        </w:p>
        <w:p>
          <w:pPr>
            <w:pStyle w:val="11"/>
            <w:tabs>
              <w:tab w:val="right" w:leader="dot" w:pos="8296"/>
            </w:tabs>
            <w:rPr>
              <w:iCs w:val="0"/>
              <w:sz w:val="21"/>
              <w:szCs w:val="22"/>
            </w:rPr>
          </w:pPr>
          <w:r>
            <w:fldChar w:fldCharType="begin"/>
          </w:r>
          <w:r>
            <w:instrText xml:space="preserve"> HYPERLINK \l "_Toc104537504" </w:instrText>
          </w:r>
          <w:r>
            <w:fldChar w:fldCharType="separate"/>
          </w:r>
          <w:r>
            <w:rPr>
              <w:rStyle w:val="29"/>
              <w:rFonts w:hint="eastAsia"/>
            </w:rPr>
            <w:t>（四）推动行业信息化服务全面提质</w:t>
          </w:r>
          <w:r>
            <w:tab/>
          </w:r>
          <w:r>
            <w:fldChar w:fldCharType="begin"/>
          </w:r>
          <w:r>
            <w:instrText xml:space="preserve"> PAGEREF _Toc104537504 \h </w:instrText>
          </w:r>
          <w:r>
            <w:fldChar w:fldCharType="separate"/>
          </w:r>
          <w:r>
            <w:t>28</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"_Toc104537505" </w:instrText>
          </w:r>
          <w:r>
            <w:fldChar w:fldCharType="separate"/>
          </w:r>
          <w:r>
            <w:rPr>
              <w:rStyle w:val="29"/>
              <w:rFonts w:hint="eastAsia"/>
            </w:rPr>
            <w:t>四、绿色交通持续发展</w:t>
          </w:r>
          <w:r>
            <w:tab/>
          </w:r>
          <w:r>
            <w:fldChar w:fldCharType="begin"/>
          </w:r>
          <w:r>
            <w:instrText xml:space="preserve"> PAGEREF _Toc104537505 \h </w:instrText>
          </w:r>
          <w:r>
            <w:fldChar w:fldCharType="separate"/>
          </w:r>
          <w:r>
            <w:t>28</w:t>
          </w:r>
          <w:r>
            <w:fldChar w:fldCharType="end"/>
          </w:r>
          <w:r>
            <w:fldChar w:fldCharType="end"/>
          </w:r>
        </w:p>
        <w:p>
          <w:pPr>
            <w:pStyle w:val="11"/>
            <w:tabs>
              <w:tab w:val="right" w:leader="dot" w:pos="8296"/>
            </w:tabs>
            <w:rPr>
              <w:iCs w:val="0"/>
              <w:sz w:val="21"/>
              <w:szCs w:val="22"/>
            </w:rPr>
          </w:pPr>
          <w:r>
            <w:fldChar w:fldCharType="begin"/>
          </w:r>
          <w:r>
            <w:instrText xml:space="preserve"> HYPERLINK \l "_Toc104537506" </w:instrText>
          </w:r>
          <w:r>
            <w:fldChar w:fldCharType="separate"/>
          </w:r>
          <w:r>
            <w:rPr>
              <w:rStyle w:val="29"/>
              <w:rFonts w:hint="eastAsia"/>
            </w:rPr>
            <w:t>（一）强化绿色理念引领</w:t>
          </w:r>
          <w:r>
            <w:tab/>
          </w:r>
          <w:r>
            <w:fldChar w:fldCharType="begin"/>
          </w:r>
          <w:r>
            <w:instrText xml:space="preserve"> PAGEREF _Toc104537506 \h </w:instrText>
          </w:r>
          <w:r>
            <w:fldChar w:fldCharType="separate"/>
          </w:r>
          <w:r>
            <w:t>28</w:t>
          </w:r>
          <w:r>
            <w:fldChar w:fldCharType="end"/>
          </w:r>
          <w:r>
            <w:fldChar w:fldCharType="end"/>
          </w:r>
        </w:p>
        <w:p>
          <w:pPr>
            <w:pStyle w:val="11"/>
            <w:tabs>
              <w:tab w:val="right" w:leader="dot" w:pos="8296"/>
            </w:tabs>
            <w:rPr>
              <w:iCs w:val="0"/>
              <w:sz w:val="21"/>
              <w:szCs w:val="22"/>
            </w:rPr>
          </w:pPr>
          <w:r>
            <w:fldChar w:fldCharType="begin"/>
          </w:r>
          <w:r>
            <w:instrText xml:space="preserve"> HYPERLINK \l "_Toc104537507" </w:instrText>
          </w:r>
          <w:r>
            <w:fldChar w:fldCharType="separate"/>
          </w:r>
          <w:r>
            <w:rPr>
              <w:rStyle w:val="29"/>
              <w:rFonts w:hint="eastAsia"/>
            </w:rPr>
            <w:t>（二）构建绿色出行体系</w:t>
          </w:r>
          <w:r>
            <w:tab/>
          </w:r>
          <w:r>
            <w:fldChar w:fldCharType="begin"/>
          </w:r>
          <w:r>
            <w:instrText xml:space="preserve"> PAGEREF _Toc104537507 \h </w:instrText>
          </w:r>
          <w:r>
            <w:fldChar w:fldCharType="separate"/>
          </w:r>
          <w:r>
            <w:t>28</w:t>
          </w:r>
          <w:r>
            <w:fldChar w:fldCharType="end"/>
          </w:r>
          <w:r>
            <w:fldChar w:fldCharType="end"/>
          </w:r>
        </w:p>
        <w:p>
          <w:pPr>
            <w:pStyle w:val="11"/>
            <w:tabs>
              <w:tab w:val="right" w:leader="dot" w:pos="8296"/>
            </w:tabs>
            <w:rPr>
              <w:iCs w:val="0"/>
              <w:sz w:val="21"/>
              <w:szCs w:val="22"/>
            </w:rPr>
          </w:pPr>
          <w:r>
            <w:fldChar w:fldCharType="begin"/>
          </w:r>
          <w:r>
            <w:instrText xml:space="preserve"> HYPERLINK \l "_Toc104537508" </w:instrText>
          </w:r>
          <w:r>
            <w:fldChar w:fldCharType="separate"/>
          </w:r>
          <w:r>
            <w:rPr>
              <w:rStyle w:val="29"/>
              <w:rFonts w:hint="eastAsia"/>
            </w:rPr>
            <w:t>（三）推广绿色运输装备</w:t>
          </w:r>
          <w:r>
            <w:tab/>
          </w:r>
          <w:r>
            <w:fldChar w:fldCharType="begin"/>
          </w:r>
          <w:r>
            <w:instrText xml:space="preserve"> PAGEREF _Toc104537508 \h </w:instrText>
          </w:r>
          <w:r>
            <w:fldChar w:fldCharType="separate"/>
          </w:r>
          <w:r>
            <w:t>28</w:t>
          </w:r>
          <w:r>
            <w:fldChar w:fldCharType="end"/>
          </w:r>
          <w:r>
            <w:fldChar w:fldCharType="end"/>
          </w:r>
        </w:p>
        <w:p>
          <w:pPr>
            <w:pStyle w:val="11"/>
            <w:tabs>
              <w:tab w:val="right" w:leader="dot" w:pos="8296"/>
            </w:tabs>
            <w:rPr>
              <w:iCs w:val="0"/>
              <w:sz w:val="21"/>
              <w:szCs w:val="22"/>
            </w:rPr>
          </w:pPr>
          <w:r>
            <w:fldChar w:fldCharType="begin"/>
          </w:r>
          <w:r>
            <w:instrText xml:space="preserve"> HYPERLINK \l "_Toc104537509" </w:instrText>
          </w:r>
          <w:r>
            <w:fldChar w:fldCharType="separate"/>
          </w:r>
          <w:r>
            <w:rPr>
              <w:rStyle w:val="29"/>
              <w:rFonts w:hint="eastAsia"/>
            </w:rPr>
            <w:t>（四）规避不良环境影响</w:t>
          </w:r>
          <w:r>
            <w:tab/>
          </w:r>
          <w:r>
            <w:fldChar w:fldCharType="begin"/>
          </w:r>
          <w:r>
            <w:instrText xml:space="preserve"> PAGEREF _Toc104537509 \h </w:instrText>
          </w:r>
          <w:r>
            <w:fldChar w:fldCharType="separate"/>
          </w:r>
          <w:r>
            <w:t>29</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"_Toc104537510" </w:instrText>
          </w:r>
          <w:r>
            <w:fldChar w:fldCharType="separate"/>
          </w:r>
          <w:r>
            <w:rPr>
              <w:rStyle w:val="29"/>
              <w:rFonts w:hint="eastAsia"/>
            </w:rPr>
            <w:t>五、安全保障可靠有力</w:t>
          </w:r>
          <w:r>
            <w:tab/>
          </w:r>
          <w:r>
            <w:fldChar w:fldCharType="begin"/>
          </w:r>
          <w:r>
            <w:instrText xml:space="preserve"> PAGEREF _Toc104537510 \h </w:instrText>
          </w:r>
          <w:r>
            <w:fldChar w:fldCharType="separate"/>
          </w:r>
          <w:r>
            <w:t>29</w:t>
          </w:r>
          <w:r>
            <w:fldChar w:fldCharType="end"/>
          </w:r>
          <w:r>
            <w:fldChar w:fldCharType="end"/>
          </w:r>
        </w:p>
        <w:p>
          <w:pPr>
            <w:pStyle w:val="11"/>
            <w:tabs>
              <w:tab w:val="right" w:leader="dot" w:pos="8296"/>
            </w:tabs>
            <w:rPr>
              <w:iCs w:val="0"/>
              <w:sz w:val="21"/>
              <w:szCs w:val="22"/>
            </w:rPr>
          </w:pPr>
          <w:r>
            <w:fldChar w:fldCharType="begin"/>
          </w:r>
          <w:r>
            <w:instrText xml:space="preserve"> HYPERLINK \l "_Toc104537511" </w:instrText>
          </w:r>
          <w:r>
            <w:fldChar w:fldCharType="separate"/>
          </w:r>
          <w:r>
            <w:rPr>
              <w:rStyle w:val="29"/>
              <w:rFonts w:hint="eastAsia"/>
            </w:rPr>
            <w:t>（一）深化平安交通建设</w:t>
          </w:r>
          <w:r>
            <w:tab/>
          </w:r>
          <w:r>
            <w:fldChar w:fldCharType="begin"/>
          </w:r>
          <w:r>
            <w:instrText xml:space="preserve"> PAGEREF _Toc104537511 \h </w:instrText>
          </w:r>
          <w:r>
            <w:fldChar w:fldCharType="separate"/>
          </w:r>
          <w:r>
            <w:t>29</w:t>
          </w:r>
          <w:r>
            <w:fldChar w:fldCharType="end"/>
          </w:r>
          <w:r>
            <w:fldChar w:fldCharType="end"/>
          </w:r>
        </w:p>
        <w:p>
          <w:pPr>
            <w:pStyle w:val="11"/>
            <w:tabs>
              <w:tab w:val="right" w:leader="dot" w:pos="8296"/>
            </w:tabs>
            <w:rPr>
              <w:iCs w:val="0"/>
              <w:sz w:val="21"/>
              <w:szCs w:val="22"/>
            </w:rPr>
          </w:pPr>
          <w:r>
            <w:fldChar w:fldCharType="begin"/>
          </w:r>
          <w:r>
            <w:instrText xml:space="preserve"> HYPERLINK \l "_Toc104537512" </w:instrText>
          </w:r>
          <w:r>
            <w:fldChar w:fldCharType="separate"/>
          </w:r>
          <w:r>
            <w:rPr>
              <w:rStyle w:val="29"/>
              <w:rFonts w:hint="eastAsia"/>
            </w:rPr>
            <w:t>（二）增强应急保障能力</w:t>
          </w:r>
          <w:r>
            <w:tab/>
          </w:r>
          <w:r>
            <w:fldChar w:fldCharType="begin"/>
          </w:r>
          <w:r>
            <w:instrText xml:space="preserve"> PAGEREF _Toc104537512 \h </w:instrText>
          </w:r>
          <w:r>
            <w:fldChar w:fldCharType="separate"/>
          </w:r>
          <w:r>
            <w:t>29</w:t>
          </w:r>
          <w:r>
            <w:fldChar w:fldCharType="end"/>
          </w:r>
          <w:r>
            <w:fldChar w:fldCharType="end"/>
          </w:r>
        </w:p>
        <w:p>
          <w:pPr>
            <w:pStyle w:val="11"/>
            <w:tabs>
              <w:tab w:val="right" w:leader="dot" w:pos="8296"/>
            </w:tabs>
            <w:rPr>
              <w:iCs w:val="0"/>
              <w:sz w:val="21"/>
              <w:szCs w:val="22"/>
            </w:rPr>
          </w:pPr>
          <w:r>
            <w:fldChar w:fldCharType="begin"/>
          </w:r>
          <w:r>
            <w:instrText xml:space="preserve"> HYPERLINK \l "_Toc104537513" </w:instrText>
          </w:r>
          <w:r>
            <w:fldChar w:fldCharType="separate"/>
          </w:r>
          <w:r>
            <w:rPr>
              <w:rStyle w:val="29"/>
              <w:rFonts w:hint="eastAsia"/>
            </w:rPr>
            <w:t>（三）强化安全监管能力</w:t>
          </w:r>
          <w:r>
            <w:tab/>
          </w:r>
          <w:r>
            <w:fldChar w:fldCharType="begin"/>
          </w:r>
          <w:r>
            <w:instrText xml:space="preserve"> PAGEREF _Toc104537513 \h </w:instrText>
          </w:r>
          <w:r>
            <w:fldChar w:fldCharType="separate"/>
          </w:r>
          <w:r>
            <w:t>29</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"_Toc104537514" </w:instrText>
          </w:r>
          <w:r>
            <w:fldChar w:fldCharType="separate"/>
          </w:r>
          <w:r>
            <w:rPr>
              <w:rStyle w:val="29"/>
              <w:rFonts w:hint="eastAsia"/>
            </w:rPr>
            <w:t>六、交通旅游融合推进</w:t>
          </w:r>
          <w:r>
            <w:tab/>
          </w:r>
          <w:r>
            <w:fldChar w:fldCharType="begin"/>
          </w:r>
          <w:r>
            <w:instrText xml:space="preserve"> PAGEREF _Toc104537514 \h </w:instrText>
          </w:r>
          <w:r>
            <w:fldChar w:fldCharType="separate"/>
          </w:r>
          <w:r>
            <w:t>30</w:t>
          </w:r>
          <w:r>
            <w:fldChar w:fldCharType="end"/>
          </w:r>
          <w:r>
            <w:fldChar w:fldCharType="end"/>
          </w:r>
        </w:p>
        <w:p>
          <w:pPr>
            <w:pStyle w:val="11"/>
            <w:tabs>
              <w:tab w:val="right" w:leader="dot" w:pos="8296"/>
            </w:tabs>
            <w:rPr>
              <w:iCs w:val="0"/>
              <w:sz w:val="21"/>
              <w:szCs w:val="22"/>
            </w:rPr>
          </w:pPr>
          <w:r>
            <w:fldChar w:fldCharType="begin"/>
          </w:r>
          <w:r>
            <w:instrText xml:space="preserve"> HYPERLINK \l "_Toc104537515" </w:instrText>
          </w:r>
          <w:r>
            <w:fldChar w:fldCharType="separate"/>
          </w:r>
          <w:r>
            <w:rPr>
              <w:rStyle w:val="29"/>
              <w:rFonts w:hint="eastAsia"/>
            </w:rPr>
            <w:t>（一）外通催生旅游</w:t>
          </w:r>
          <w:r>
            <w:tab/>
          </w:r>
          <w:r>
            <w:fldChar w:fldCharType="begin"/>
          </w:r>
          <w:r>
            <w:instrText xml:space="preserve"> PAGEREF _Toc104537515 \h </w:instrText>
          </w:r>
          <w:r>
            <w:fldChar w:fldCharType="separate"/>
          </w:r>
          <w:r>
            <w:t>30</w:t>
          </w:r>
          <w:r>
            <w:fldChar w:fldCharType="end"/>
          </w:r>
          <w:r>
            <w:fldChar w:fldCharType="end"/>
          </w:r>
        </w:p>
        <w:p>
          <w:pPr>
            <w:pStyle w:val="11"/>
            <w:tabs>
              <w:tab w:val="right" w:leader="dot" w:pos="8296"/>
            </w:tabs>
            <w:rPr>
              <w:iCs w:val="0"/>
              <w:sz w:val="21"/>
              <w:szCs w:val="22"/>
            </w:rPr>
          </w:pPr>
          <w:r>
            <w:fldChar w:fldCharType="begin"/>
          </w:r>
          <w:r>
            <w:instrText xml:space="preserve"> HYPERLINK \l "_Toc104537516" </w:instrText>
          </w:r>
          <w:r>
            <w:fldChar w:fldCharType="separate"/>
          </w:r>
          <w:r>
            <w:rPr>
              <w:rStyle w:val="29"/>
              <w:rFonts w:hint="eastAsia"/>
            </w:rPr>
            <w:t>（二）内联构筑“快进慢游”</w:t>
          </w:r>
          <w:r>
            <w:tab/>
          </w:r>
          <w:r>
            <w:fldChar w:fldCharType="begin"/>
          </w:r>
          <w:r>
            <w:instrText xml:space="preserve"> PAGEREF _Toc104537516 \h </w:instrText>
          </w:r>
          <w:r>
            <w:fldChar w:fldCharType="separate"/>
          </w:r>
          <w:r>
            <w:t>31</w:t>
          </w:r>
          <w:r>
            <w:fldChar w:fldCharType="end"/>
          </w:r>
          <w:r>
            <w:fldChar w:fldCharType="end"/>
          </w:r>
        </w:p>
        <w:p>
          <w:pPr>
            <w:pStyle w:val="11"/>
            <w:tabs>
              <w:tab w:val="right" w:leader="dot" w:pos="8296"/>
            </w:tabs>
            <w:rPr>
              <w:iCs w:val="0"/>
              <w:sz w:val="21"/>
              <w:szCs w:val="22"/>
            </w:rPr>
          </w:pPr>
          <w:r>
            <w:fldChar w:fldCharType="begin"/>
          </w:r>
          <w:r>
            <w:instrText xml:space="preserve"> HYPERLINK \l "_Toc104537517" </w:instrText>
          </w:r>
          <w:r>
            <w:fldChar w:fldCharType="separate"/>
          </w:r>
          <w:r>
            <w:rPr>
              <w:rStyle w:val="29"/>
              <w:rFonts w:hint="eastAsia"/>
            </w:rPr>
            <w:t>（三）打造“九华秘境”风景道</w:t>
          </w:r>
          <w:r>
            <w:tab/>
          </w:r>
          <w:r>
            <w:fldChar w:fldCharType="begin"/>
          </w:r>
          <w:r>
            <w:instrText xml:space="preserve"> PAGEREF _Toc104537517 \h </w:instrText>
          </w:r>
          <w:r>
            <w:fldChar w:fldCharType="separate"/>
          </w:r>
          <w:r>
            <w:t>31</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"_Toc104537518" </w:instrText>
          </w:r>
          <w:r>
            <w:fldChar w:fldCharType="separate"/>
          </w:r>
          <w:r>
            <w:rPr>
              <w:rStyle w:val="29"/>
              <w:rFonts w:hint="eastAsia"/>
            </w:rPr>
            <w:t>第五章</w:t>
          </w:r>
          <w:r>
            <w:rPr>
              <w:rStyle w:val="29"/>
            </w:rPr>
            <w:t xml:space="preserve"> </w:t>
          </w:r>
          <w:r>
            <w:rPr>
              <w:rStyle w:val="29"/>
              <w:rFonts w:hint="eastAsia"/>
            </w:rPr>
            <w:t>保障措施</w:t>
          </w:r>
          <w:r>
            <w:tab/>
          </w:r>
          <w:r>
            <w:fldChar w:fldCharType="begin"/>
          </w:r>
          <w:r>
            <w:instrText xml:space="preserve"> PAGEREF _Toc104537518 \h </w:instrText>
          </w:r>
          <w:r>
            <w:fldChar w:fldCharType="separate"/>
          </w:r>
          <w:r>
            <w:t>33</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"_Toc104537519" </w:instrText>
          </w:r>
          <w:r>
            <w:fldChar w:fldCharType="separate"/>
          </w:r>
          <w:r>
            <w:rPr>
              <w:rStyle w:val="29"/>
              <w:rFonts w:hint="eastAsia"/>
            </w:rPr>
            <w:t>一、强化组织协调</w:t>
          </w:r>
          <w:r>
            <w:tab/>
          </w:r>
          <w:r>
            <w:fldChar w:fldCharType="begin"/>
          </w:r>
          <w:r>
            <w:instrText xml:space="preserve"> PAGEREF _Toc104537519 \h </w:instrText>
          </w:r>
          <w:r>
            <w:fldChar w:fldCharType="separate"/>
          </w:r>
          <w:r>
            <w:t>33</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"_Toc104537520" </w:instrText>
          </w:r>
          <w:r>
            <w:fldChar w:fldCharType="separate"/>
          </w:r>
          <w:r>
            <w:rPr>
              <w:rStyle w:val="29"/>
              <w:rFonts w:hint="eastAsia" w:cs="黑体"/>
            </w:rPr>
            <w:t>二、建立健全统一规划体系</w:t>
          </w:r>
          <w:r>
            <w:tab/>
          </w:r>
          <w:r>
            <w:fldChar w:fldCharType="begin"/>
          </w:r>
          <w:r>
            <w:instrText xml:space="preserve"> PAGEREF _Toc104537520 \h </w:instrText>
          </w:r>
          <w:r>
            <w:fldChar w:fldCharType="separate"/>
          </w:r>
          <w:r>
            <w:t>33</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"_Toc104537521" </w:instrText>
          </w:r>
          <w:r>
            <w:fldChar w:fldCharType="separate"/>
          </w:r>
          <w:r>
            <w:rPr>
              <w:rStyle w:val="29"/>
              <w:rFonts w:hint="eastAsia" w:cs="黑体"/>
            </w:rPr>
            <w:t>三、强化资金保障</w:t>
          </w:r>
          <w:r>
            <w:tab/>
          </w:r>
          <w:r>
            <w:fldChar w:fldCharType="begin"/>
          </w:r>
          <w:r>
            <w:instrText xml:space="preserve"> PAGEREF _Toc104537521 \h </w:instrText>
          </w:r>
          <w:r>
            <w:fldChar w:fldCharType="separate"/>
          </w:r>
          <w:r>
            <w:t>33</w:t>
          </w:r>
          <w:r>
            <w:fldChar w:fldCharType="end"/>
          </w:r>
          <w:r>
            <w:fldChar w:fldCharType="end"/>
          </w:r>
        </w:p>
        <w:p>
          <w:pPr>
            <w:pStyle w:val="20"/>
            <w:tabs>
              <w:tab w:val="right" w:leader="dot" w:pos="8296"/>
            </w:tabs>
            <w:rPr>
              <w:smallCaps w:val="0"/>
              <w:sz w:val="21"/>
              <w:szCs w:val="22"/>
            </w:rPr>
          </w:pPr>
          <w:r>
            <w:fldChar w:fldCharType="begin"/>
          </w:r>
          <w:r>
            <w:instrText xml:space="preserve"> HYPERLINK \l "_Toc104537522" </w:instrText>
          </w:r>
          <w:r>
            <w:fldChar w:fldCharType="separate"/>
          </w:r>
          <w:r>
            <w:rPr>
              <w:rStyle w:val="29"/>
              <w:rFonts w:hint="eastAsia"/>
            </w:rPr>
            <w:t>四、深化体制改革</w:t>
          </w:r>
          <w:r>
            <w:tab/>
          </w:r>
          <w:r>
            <w:fldChar w:fldCharType="begin"/>
          </w:r>
          <w:r>
            <w:instrText xml:space="preserve"> PAGEREF _Toc104537522 \h </w:instrText>
          </w:r>
          <w:r>
            <w:fldChar w:fldCharType="separate"/>
          </w:r>
          <w:r>
            <w:t>34</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"_Toc104537523" </w:instrText>
          </w:r>
          <w:r>
            <w:fldChar w:fldCharType="separate"/>
          </w:r>
          <w:r>
            <w:rPr>
              <w:rStyle w:val="29"/>
              <w:rFonts w:hint="eastAsia" w:ascii="黑体" w:hAnsi="黑体" w:eastAsia="黑体"/>
            </w:rPr>
            <w:t>附表</w:t>
          </w:r>
          <w:r>
            <w:rPr>
              <w:rStyle w:val="29"/>
              <w:rFonts w:ascii="黑体" w:hAnsi="黑体" w:eastAsia="黑体"/>
            </w:rPr>
            <w:t>1</w:t>
          </w:r>
          <w:r>
            <w:rPr>
              <w:rStyle w:val="29"/>
              <w:rFonts w:hint="eastAsia" w:ascii="黑体" w:hAnsi="黑体" w:eastAsia="黑体"/>
            </w:rPr>
            <w:t>：航空枢纽项目建设项目库</w:t>
          </w:r>
          <w:r>
            <w:tab/>
          </w:r>
          <w:r>
            <w:fldChar w:fldCharType="begin"/>
          </w:r>
          <w:r>
            <w:instrText xml:space="preserve"> PAGEREF _Toc104537523 \h </w:instrText>
          </w:r>
          <w:r>
            <w:fldChar w:fldCharType="separate"/>
          </w:r>
          <w:r>
            <w:t>35</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"_Toc104537524" </w:instrText>
          </w:r>
          <w:r>
            <w:fldChar w:fldCharType="separate"/>
          </w:r>
          <w:r>
            <w:rPr>
              <w:rStyle w:val="29"/>
              <w:rFonts w:hint="eastAsia" w:ascii="黑体" w:hAnsi="黑体" w:eastAsia="黑体"/>
            </w:rPr>
            <w:t>附表</w:t>
          </w:r>
          <w:r>
            <w:rPr>
              <w:rStyle w:val="29"/>
              <w:rFonts w:ascii="黑体" w:hAnsi="黑体" w:eastAsia="黑体"/>
            </w:rPr>
            <w:t>2</w:t>
          </w:r>
          <w:r>
            <w:rPr>
              <w:rStyle w:val="29"/>
              <w:rFonts w:hint="eastAsia" w:ascii="黑体" w:hAnsi="黑体" w:eastAsia="黑体"/>
            </w:rPr>
            <w:t>：铁路项目建设项目库</w:t>
          </w:r>
          <w:r>
            <w:tab/>
          </w:r>
          <w:r>
            <w:fldChar w:fldCharType="begin"/>
          </w:r>
          <w:r>
            <w:instrText xml:space="preserve"> PAGEREF _Toc104537524 \h </w:instrText>
          </w:r>
          <w:r>
            <w:fldChar w:fldCharType="separate"/>
          </w:r>
          <w:r>
            <w:t>36</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"_Toc104537525" </w:instrText>
          </w:r>
          <w:r>
            <w:fldChar w:fldCharType="separate"/>
          </w:r>
          <w:r>
            <w:rPr>
              <w:rStyle w:val="29"/>
              <w:rFonts w:hint="eastAsia" w:ascii="黑体" w:hAnsi="黑体" w:eastAsia="黑体"/>
            </w:rPr>
            <w:t>附表</w:t>
          </w:r>
          <w:r>
            <w:rPr>
              <w:rStyle w:val="29"/>
              <w:rFonts w:ascii="黑体" w:hAnsi="黑体" w:eastAsia="黑体"/>
            </w:rPr>
            <w:t>3</w:t>
          </w:r>
          <w:r>
            <w:rPr>
              <w:rStyle w:val="29"/>
              <w:rFonts w:hint="eastAsia" w:ascii="黑体" w:hAnsi="黑体" w:eastAsia="黑体"/>
            </w:rPr>
            <w:t>：高速公路项目建设项目库</w:t>
          </w:r>
          <w:r>
            <w:tab/>
          </w:r>
          <w:r>
            <w:fldChar w:fldCharType="begin"/>
          </w:r>
          <w:r>
            <w:instrText xml:space="preserve"> PAGEREF _Toc104537525 \h </w:instrText>
          </w:r>
          <w:r>
            <w:fldChar w:fldCharType="separate"/>
          </w:r>
          <w:r>
            <w:t>38</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"_Toc104537526" </w:instrText>
          </w:r>
          <w:r>
            <w:fldChar w:fldCharType="separate"/>
          </w:r>
          <w:r>
            <w:rPr>
              <w:rStyle w:val="29"/>
              <w:rFonts w:hint="eastAsia" w:ascii="黑体" w:hAnsi="黑体" w:eastAsia="黑体"/>
            </w:rPr>
            <w:t>附表</w:t>
          </w:r>
          <w:r>
            <w:rPr>
              <w:rStyle w:val="29"/>
              <w:rFonts w:ascii="黑体" w:hAnsi="黑体" w:eastAsia="黑体"/>
            </w:rPr>
            <w:t>4</w:t>
          </w:r>
          <w:r>
            <w:rPr>
              <w:rStyle w:val="29"/>
              <w:rFonts w:hint="eastAsia" w:ascii="黑体" w:hAnsi="黑体" w:eastAsia="黑体"/>
            </w:rPr>
            <w:t>：国省干线项目建设项目库</w:t>
          </w:r>
          <w:r>
            <w:tab/>
          </w:r>
          <w:r>
            <w:fldChar w:fldCharType="begin"/>
          </w:r>
          <w:r>
            <w:instrText xml:space="preserve"> PAGEREF _Toc104537526 \h </w:instrText>
          </w:r>
          <w:r>
            <w:fldChar w:fldCharType="separate"/>
          </w:r>
          <w:r>
            <w:t>39</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"_Toc104537527" </w:instrText>
          </w:r>
          <w:r>
            <w:fldChar w:fldCharType="separate"/>
          </w:r>
          <w:r>
            <w:rPr>
              <w:rStyle w:val="29"/>
              <w:rFonts w:hint="eastAsia" w:ascii="黑体" w:hAnsi="黑体" w:eastAsia="黑体"/>
            </w:rPr>
            <w:t>附表</w:t>
          </w:r>
          <w:r>
            <w:rPr>
              <w:rStyle w:val="29"/>
              <w:rFonts w:ascii="黑体" w:hAnsi="黑体" w:eastAsia="黑体"/>
            </w:rPr>
            <w:t>5</w:t>
          </w:r>
          <w:r>
            <w:rPr>
              <w:rStyle w:val="29"/>
              <w:rFonts w:hint="eastAsia" w:ascii="黑体" w:hAnsi="黑体" w:eastAsia="黑体"/>
            </w:rPr>
            <w:t>：农村公路项目建设项目库</w:t>
          </w:r>
          <w:r>
            <w:tab/>
          </w:r>
          <w:r>
            <w:fldChar w:fldCharType="begin"/>
          </w:r>
          <w:r>
            <w:instrText xml:space="preserve"> PAGEREF _Toc104537527 \h </w:instrText>
          </w:r>
          <w:r>
            <w:fldChar w:fldCharType="separate"/>
          </w:r>
          <w:r>
            <w:t>42</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"_Toc104537528" </w:instrText>
          </w:r>
          <w:r>
            <w:fldChar w:fldCharType="separate"/>
          </w:r>
          <w:r>
            <w:rPr>
              <w:rStyle w:val="29"/>
              <w:rFonts w:hint="eastAsia" w:ascii="黑体" w:hAnsi="黑体" w:eastAsia="黑体"/>
            </w:rPr>
            <w:t>附表</w:t>
          </w:r>
          <w:r>
            <w:rPr>
              <w:rStyle w:val="29"/>
              <w:rFonts w:ascii="黑体" w:hAnsi="黑体" w:eastAsia="黑体"/>
            </w:rPr>
            <w:t>6</w:t>
          </w:r>
          <w:r>
            <w:rPr>
              <w:rStyle w:val="29"/>
              <w:rFonts w:hint="eastAsia" w:ascii="黑体" w:hAnsi="黑体" w:eastAsia="黑体"/>
            </w:rPr>
            <w:t>：航道港口项目建设项目库</w:t>
          </w:r>
          <w:r>
            <w:tab/>
          </w:r>
          <w:r>
            <w:fldChar w:fldCharType="begin"/>
          </w:r>
          <w:r>
            <w:instrText xml:space="preserve"> PAGEREF _Toc104537528 \h </w:instrText>
          </w:r>
          <w:r>
            <w:fldChar w:fldCharType="separate"/>
          </w:r>
          <w:r>
            <w:t>43</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"_Toc104537529" </w:instrText>
          </w:r>
          <w:r>
            <w:fldChar w:fldCharType="separate"/>
          </w:r>
          <w:r>
            <w:rPr>
              <w:rStyle w:val="29"/>
              <w:rFonts w:hint="eastAsia" w:ascii="黑体" w:hAnsi="黑体" w:eastAsia="黑体"/>
            </w:rPr>
            <w:t>附表</w:t>
          </w:r>
          <w:r>
            <w:rPr>
              <w:rStyle w:val="29"/>
              <w:rFonts w:ascii="黑体" w:hAnsi="黑体" w:eastAsia="黑体"/>
            </w:rPr>
            <w:t>7</w:t>
          </w:r>
          <w:r>
            <w:rPr>
              <w:rStyle w:val="29"/>
              <w:rFonts w:hint="eastAsia" w:ascii="黑体" w:hAnsi="黑体" w:eastAsia="黑体"/>
            </w:rPr>
            <w:t>：公共交通、客运枢纽、服务设施及物流项目建设项目库</w:t>
          </w:r>
          <w:r>
            <w:tab/>
          </w:r>
          <w:r>
            <w:fldChar w:fldCharType="begin"/>
          </w:r>
          <w:r>
            <w:instrText xml:space="preserve"> PAGEREF _Toc104537529 \h </w:instrText>
          </w:r>
          <w:r>
            <w:fldChar w:fldCharType="separate"/>
          </w:r>
          <w:r>
            <w:t>44</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"_Toc104537530" </w:instrText>
          </w:r>
          <w:r>
            <w:fldChar w:fldCharType="separate"/>
          </w:r>
          <w:r>
            <w:rPr>
              <w:rStyle w:val="29"/>
              <w:rFonts w:hint="eastAsia" w:ascii="黑体" w:hAnsi="黑体" w:eastAsia="黑体"/>
            </w:rPr>
            <w:t>附表</w:t>
          </w:r>
          <w:r>
            <w:rPr>
              <w:rStyle w:val="29"/>
              <w:rFonts w:ascii="黑体" w:hAnsi="黑体" w:eastAsia="黑体"/>
            </w:rPr>
            <w:t>8</w:t>
          </w:r>
          <w:r>
            <w:rPr>
              <w:rStyle w:val="29"/>
              <w:rFonts w:hint="eastAsia" w:ascii="黑体" w:hAnsi="黑体" w:eastAsia="黑体"/>
            </w:rPr>
            <w:t>：智慧交通、科技治超项目建设项目库</w:t>
          </w:r>
          <w:r>
            <w:tab/>
          </w:r>
          <w:r>
            <w:fldChar w:fldCharType="begin"/>
          </w:r>
          <w:r>
            <w:instrText xml:space="preserve"> PAGEREF _Toc104537530 \h </w:instrText>
          </w:r>
          <w:r>
            <w:fldChar w:fldCharType="separate"/>
          </w:r>
          <w:r>
            <w:t>47</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"_Toc104537531" </w:instrText>
          </w:r>
          <w:r>
            <w:fldChar w:fldCharType="separate"/>
          </w:r>
          <w:r>
            <w:rPr>
              <w:rStyle w:val="29"/>
              <w:rFonts w:hint="eastAsia" w:ascii="黑体" w:hAnsi="黑体" w:eastAsia="黑体"/>
            </w:rPr>
            <w:t>附表</w:t>
          </w:r>
          <w:r>
            <w:rPr>
              <w:rStyle w:val="29"/>
              <w:rFonts w:ascii="黑体" w:hAnsi="黑体" w:eastAsia="黑体"/>
            </w:rPr>
            <w:t>9</w:t>
          </w:r>
          <w:r>
            <w:rPr>
              <w:rStyle w:val="29"/>
              <w:rFonts w:hint="eastAsia" w:ascii="黑体" w:hAnsi="黑体" w:eastAsia="黑体"/>
            </w:rPr>
            <w:t>：青阳县县道网规划一览表</w:t>
          </w:r>
          <w:r>
            <w:tab/>
          </w:r>
          <w:r>
            <w:fldChar w:fldCharType="begin"/>
          </w:r>
          <w:r>
            <w:instrText xml:space="preserve"> PAGEREF _Toc104537531 \h </w:instrText>
          </w:r>
          <w:r>
            <w:fldChar w:fldCharType="separate"/>
          </w:r>
          <w:r>
            <w:t>48</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"_Toc104537532" </w:instrText>
          </w:r>
          <w:r>
            <w:fldChar w:fldCharType="separate"/>
          </w:r>
          <w:r>
            <w:rPr>
              <w:rStyle w:val="29"/>
              <w:rFonts w:hint="eastAsia" w:ascii="黑体" w:hAnsi="黑体" w:eastAsia="黑体"/>
            </w:rPr>
            <w:t>附表</w:t>
          </w:r>
          <w:r>
            <w:rPr>
              <w:rStyle w:val="29"/>
              <w:rFonts w:ascii="黑体" w:hAnsi="黑体" w:eastAsia="黑体"/>
            </w:rPr>
            <w:t>10</w:t>
          </w:r>
          <w:r>
            <w:rPr>
              <w:rStyle w:val="29"/>
              <w:rFonts w:hint="eastAsia" w:ascii="黑体" w:hAnsi="黑体" w:eastAsia="黑体"/>
            </w:rPr>
            <w:t>：危桥改造表</w:t>
          </w:r>
          <w:r>
            <w:tab/>
          </w:r>
          <w:r>
            <w:fldChar w:fldCharType="begin"/>
          </w:r>
          <w:r>
            <w:instrText xml:space="preserve"> PAGEREF _Toc104537532 \h </w:instrText>
          </w:r>
          <w:r>
            <w:fldChar w:fldCharType="separate"/>
          </w:r>
          <w:r>
            <w:t>50</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"_Toc104537533" </w:instrText>
          </w:r>
          <w:r>
            <w:fldChar w:fldCharType="separate"/>
          </w:r>
          <w:r>
            <w:rPr>
              <w:rStyle w:val="29"/>
              <w:rFonts w:hint="eastAsia" w:ascii="黑体" w:hAnsi="黑体" w:eastAsia="黑体"/>
            </w:rPr>
            <w:t>附图一：</w:t>
          </w:r>
          <w:r>
            <w:tab/>
          </w:r>
          <w:r>
            <w:fldChar w:fldCharType="begin"/>
          </w:r>
          <w:r>
            <w:instrText xml:space="preserve"> PAGEREF _Toc104537533 \h </w:instrText>
          </w:r>
          <w:r>
            <w:fldChar w:fldCharType="separate"/>
          </w:r>
          <w:r>
            <w:t>56</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"_Toc104537534" </w:instrText>
          </w:r>
          <w:r>
            <w:fldChar w:fldCharType="separate"/>
          </w:r>
          <w:r>
            <w:rPr>
              <w:rStyle w:val="29"/>
              <w:rFonts w:hint="eastAsia" w:ascii="黑体" w:hAnsi="黑体" w:eastAsia="黑体"/>
            </w:rPr>
            <w:t>附图二：</w:t>
          </w:r>
          <w:r>
            <w:tab/>
          </w:r>
          <w:r>
            <w:fldChar w:fldCharType="begin"/>
          </w:r>
          <w:r>
            <w:instrText xml:space="preserve"> PAGEREF _Toc104537534 \h </w:instrText>
          </w:r>
          <w:r>
            <w:fldChar w:fldCharType="separate"/>
          </w:r>
          <w:r>
            <w:t>57</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"_Toc104537535" </w:instrText>
          </w:r>
          <w:r>
            <w:fldChar w:fldCharType="separate"/>
          </w:r>
          <w:r>
            <w:rPr>
              <w:rStyle w:val="29"/>
              <w:rFonts w:hint="eastAsia" w:ascii="黑体" w:hAnsi="黑体" w:eastAsia="黑体"/>
            </w:rPr>
            <w:t>附图三：</w:t>
          </w:r>
          <w:r>
            <w:tab/>
          </w:r>
          <w:r>
            <w:fldChar w:fldCharType="begin"/>
          </w:r>
          <w:r>
            <w:instrText xml:space="preserve"> PAGEREF _Toc104537535 \h </w:instrText>
          </w:r>
          <w:r>
            <w:fldChar w:fldCharType="separate"/>
          </w:r>
          <w:r>
            <w:t>58</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"_Toc104537536" </w:instrText>
          </w:r>
          <w:r>
            <w:fldChar w:fldCharType="separate"/>
          </w:r>
          <w:r>
            <w:rPr>
              <w:rStyle w:val="29"/>
              <w:rFonts w:hint="eastAsia" w:ascii="黑体" w:hAnsi="黑体" w:eastAsia="黑体"/>
            </w:rPr>
            <w:t>附图四：</w:t>
          </w:r>
          <w:r>
            <w:tab/>
          </w:r>
          <w:r>
            <w:fldChar w:fldCharType="begin"/>
          </w:r>
          <w:r>
            <w:instrText xml:space="preserve"> PAGEREF _Toc104537536 \h </w:instrText>
          </w:r>
          <w:r>
            <w:fldChar w:fldCharType="separate"/>
          </w:r>
          <w:r>
            <w:t>59</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"_Toc104537537" </w:instrText>
          </w:r>
          <w:r>
            <w:fldChar w:fldCharType="separate"/>
          </w:r>
          <w:r>
            <w:rPr>
              <w:rStyle w:val="29"/>
              <w:rFonts w:hint="eastAsia" w:ascii="黑体" w:hAnsi="黑体" w:eastAsia="黑体"/>
            </w:rPr>
            <w:t>附图五：</w:t>
          </w:r>
          <w:r>
            <w:tab/>
          </w:r>
          <w:r>
            <w:fldChar w:fldCharType="begin"/>
          </w:r>
          <w:r>
            <w:instrText xml:space="preserve"> PAGEREF _Toc104537537 \h </w:instrText>
          </w:r>
          <w:r>
            <w:fldChar w:fldCharType="separate"/>
          </w:r>
          <w:r>
            <w:t>60</w:t>
          </w:r>
          <w:r>
            <w:fldChar w:fldCharType="end"/>
          </w:r>
          <w:r>
            <w:fldChar w:fldCharType="end"/>
          </w:r>
        </w:p>
        <w:p>
          <w:pPr>
            <w:pStyle w:val="17"/>
            <w:tabs>
              <w:tab w:val="right" w:leader="dot" w:pos="8296"/>
            </w:tabs>
            <w:rPr>
              <w:b w:val="0"/>
              <w:bCs w:val="0"/>
              <w:caps w:val="0"/>
              <w:sz w:val="21"/>
              <w:szCs w:val="22"/>
            </w:rPr>
          </w:pPr>
          <w:r>
            <w:fldChar w:fldCharType="begin"/>
          </w:r>
          <w:r>
            <w:instrText xml:space="preserve"> HYPERLINK \l "_Toc104537538" </w:instrText>
          </w:r>
          <w:r>
            <w:fldChar w:fldCharType="separate"/>
          </w:r>
          <w:r>
            <w:rPr>
              <w:rStyle w:val="29"/>
              <w:rFonts w:hint="eastAsia" w:ascii="黑体" w:hAnsi="黑体" w:eastAsia="黑体"/>
            </w:rPr>
            <w:t>附图六：</w:t>
          </w:r>
          <w:r>
            <w:tab/>
          </w:r>
          <w:r>
            <w:fldChar w:fldCharType="begin"/>
          </w:r>
          <w:r>
            <w:instrText xml:space="preserve"> PAGEREF _Toc104537538 \h </w:instrText>
          </w:r>
          <w:r>
            <w:fldChar w:fldCharType="separate"/>
          </w:r>
          <w:r>
            <w:t>61</w:t>
          </w:r>
          <w:r>
            <w:fldChar w:fldCharType="end"/>
          </w:r>
          <w:r>
            <w:fldChar w:fldCharType="end"/>
          </w:r>
        </w:p>
        <w:p>
          <w:pPr>
            <w:pStyle w:val="20"/>
            <w:tabs>
              <w:tab w:val="right" w:leader="dot" w:pos="8306"/>
            </w:tabs>
            <w:jc w:val="center"/>
            <w:sectPr>
              <w:footerReference r:id="rId5" w:type="default"/>
              <w:pgSz w:w="11906" w:h="16838"/>
              <w:pgMar w:top="1440" w:right="1800" w:bottom="1440" w:left="1800" w:header="851" w:footer="992" w:gutter="0"/>
              <w:pgNumType w:fmt="upperRoman" w:start="1"/>
              <w:cols w:space="425" w:num="1"/>
              <w:docGrid w:type="lines" w:linePitch="312" w:charSpace="0"/>
            </w:sectPr>
          </w:pPr>
          <w:r>
            <w:rPr>
              <w:rFonts w:ascii="宋体" w:hAnsi="宋体" w:eastAsia="宋体"/>
              <w:caps/>
              <w:smallCaps w:val="0"/>
              <w:sz w:val="72"/>
              <w:szCs w:val="24"/>
            </w:rPr>
            <w:fldChar w:fldCharType="end"/>
          </w:r>
        </w:p>
      </w:sdtContent>
    </w:sdt>
    <w:p>
      <w:pPr>
        <w:pStyle w:val="61"/>
        <w:spacing w:line="540" w:lineRule="exact"/>
        <w:ind w:firstLine="640"/>
      </w:pPr>
      <w:bookmarkStart w:id="0" w:name="_Toc81675147"/>
    </w:p>
    <w:p>
      <w:pPr>
        <w:pStyle w:val="55"/>
        <w:spacing w:after="156" w:line="540" w:lineRule="exact"/>
      </w:pPr>
      <w:bookmarkStart w:id="1" w:name="_Toc104537484"/>
      <w:r>
        <w:t>前言</w:t>
      </w:r>
      <w:bookmarkEnd w:id="0"/>
      <w:bookmarkEnd w:id="1"/>
    </w:p>
    <w:p>
      <w:pPr>
        <w:pStyle w:val="61"/>
        <w:spacing w:line="540" w:lineRule="exact"/>
        <w:ind w:firstLine="640"/>
        <w:rPr>
          <w:szCs w:val="32"/>
        </w:rPr>
      </w:pPr>
    </w:p>
    <w:p>
      <w:pPr>
        <w:pStyle w:val="61"/>
        <w:spacing w:line="540" w:lineRule="exact"/>
        <w:ind w:firstLine="640"/>
      </w:pPr>
      <w:r>
        <w:rPr>
          <w:rFonts w:hint="eastAsia"/>
        </w:rPr>
        <w:t>青阳县位于长江中下游南岸、皖南山区北部，区位优越，境内交通便利，2至4小时经济圈覆盖长三角和中部各大城市，在皖南国际文化旅游示范区中处于重要核心区，是</w:t>
      </w:r>
      <w:r>
        <w:rPr>
          <w:rFonts w:hint="eastAsia"/>
          <w:lang w:eastAsia="zh-CN"/>
        </w:rPr>
        <w:t>“</w:t>
      </w:r>
      <w:r>
        <w:rPr>
          <w:rFonts w:hint="eastAsia"/>
        </w:rPr>
        <w:t>两山一湖</w:t>
      </w:r>
      <w:r>
        <w:rPr>
          <w:rFonts w:hint="eastAsia"/>
          <w:lang w:eastAsia="zh-CN"/>
        </w:rPr>
        <w:t>”</w:t>
      </w:r>
      <w:r>
        <w:rPr>
          <w:rFonts w:hint="eastAsia"/>
        </w:rPr>
        <w:t>的交通枢纽和天然门户</w:t>
      </w:r>
      <w:r>
        <w:rPr>
          <w:rFonts w:hint="eastAsia"/>
          <w:lang w:eastAsia="zh-CN"/>
        </w:rPr>
        <w:t>。</w:t>
      </w:r>
      <w:r>
        <w:rPr>
          <w:rFonts w:hint="eastAsia"/>
        </w:rPr>
        <w:t>“十三五”期间，以习近平新时代中国特色社会主义思想为指导，青阳县交通运输业快速健康发展，已形成了良好的交通运输体系。</w:t>
      </w:r>
    </w:p>
    <w:p>
      <w:pPr>
        <w:pStyle w:val="61"/>
        <w:spacing w:line="540" w:lineRule="exact"/>
        <w:ind w:firstLine="640"/>
      </w:pPr>
      <w:r>
        <w:rPr>
          <w:rFonts w:hint="eastAsia"/>
        </w:rPr>
        <w:t>“十四五”时期，是我国经济社会发展的重要历史性窗口期，是由全面完成小康社会建设战略目标向全面实现社会主义现代化迈进承上启下的关键时期，青阳县步入了加快推进新阶段现代化“九华圣境，灵秀青阳”建设，奋力开创高质量跨越发展新局面。在交通运输方面，青阳县将牢牢把握交通区位优势、生态旅游优势，在新发展格局和区域合作中提升发展位势，加密网络，整合资源，优化结构，扩能提速，加强衔接，加快构建现代化综合交通运输体系。为引领和支撑全县经济社会发展，准确把握“十四五”时期青阳县交通运输发展目标、重大任务、工作重点，根据安徽省及市县相关规划，结合青阳县交通运输发展实际，</w:t>
      </w:r>
      <w:r>
        <w:rPr>
          <w:rFonts w:hint="eastAsia"/>
          <w:szCs w:val="32"/>
        </w:rPr>
        <w:t>编制本规划，</w:t>
      </w:r>
      <w:r>
        <w:rPr>
          <w:rStyle w:val="47"/>
          <w:rFonts w:hint="eastAsia" w:ascii="仿宋" w:hAnsi="仿宋"/>
          <w:b w:val="0"/>
          <w:bCs w:val="0"/>
          <w:color w:val="auto"/>
        </w:rPr>
        <w:t>范围涵盖公路、铁路、水运、航空等多种运输方式</w:t>
      </w:r>
      <w:r>
        <w:rPr>
          <w:rFonts w:hint="eastAsia"/>
          <w:szCs w:val="32"/>
        </w:rPr>
        <w:t>。</w:t>
      </w:r>
    </w:p>
    <w:p>
      <w:pPr>
        <w:pStyle w:val="61"/>
        <w:spacing w:line="540" w:lineRule="exact"/>
        <w:ind w:firstLine="643"/>
        <w:rPr>
          <w:b/>
        </w:rPr>
      </w:pPr>
    </w:p>
    <w:p>
      <w:pPr>
        <w:pStyle w:val="61"/>
        <w:spacing w:line="540" w:lineRule="exact"/>
        <w:ind w:firstLine="643"/>
        <w:rPr>
          <w:b/>
        </w:rPr>
      </w:pPr>
    </w:p>
    <w:p>
      <w:pPr>
        <w:pStyle w:val="61"/>
        <w:spacing w:line="540" w:lineRule="exact"/>
        <w:ind w:firstLine="643"/>
        <w:rPr>
          <w:b/>
        </w:rPr>
      </w:pPr>
    </w:p>
    <w:p>
      <w:pPr>
        <w:pStyle w:val="61"/>
        <w:spacing w:line="540" w:lineRule="exact"/>
        <w:ind w:firstLine="643"/>
        <w:rPr>
          <w:b/>
        </w:rPr>
      </w:pPr>
    </w:p>
    <w:p>
      <w:pPr>
        <w:pStyle w:val="61"/>
        <w:spacing w:line="540" w:lineRule="exact"/>
        <w:ind w:firstLine="643"/>
        <w:rPr>
          <w:b/>
        </w:rPr>
      </w:pPr>
      <w:r>
        <w:rPr>
          <w:rFonts w:hint="eastAsia"/>
          <w:b/>
        </w:rPr>
        <w:t>规划范围与期限：</w:t>
      </w:r>
    </w:p>
    <w:p>
      <w:pPr>
        <w:pStyle w:val="61"/>
        <w:spacing w:line="540" w:lineRule="exact"/>
        <w:ind w:firstLine="640"/>
      </w:pPr>
      <w:r>
        <w:rPr>
          <w:rFonts w:hint="eastAsia"/>
        </w:rPr>
        <w:t>规划范围：本次规划地理范围为青阳县域，运输方式包括公路、铁路、水运、航空等多种运输方式。</w:t>
      </w:r>
    </w:p>
    <w:p>
      <w:pPr>
        <w:pStyle w:val="61"/>
        <w:spacing w:line="540" w:lineRule="exact"/>
        <w:ind w:firstLine="640"/>
      </w:pPr>
      <w:r>
        <w:rPr>
          <w:rFonts w:hint="eastAsia"/>
        </w:rPr>
        <w:t>规划期限：本次规划基年为2020年，期限为2021—2025年，远景目标展望至2035年。</w:t>
      </w:r>
    </w:p>
    <w:p>
      <w:pPr>
        <w:pStyle w:val="61"/>
        <w:spacing w:line="540" w:lineRule="exact"/>
        <w:ind w:firstLine="643"/>
        <w:rPr>
          <w:b/>
        </w:rPr>
      </w:pPr>
      <w:r>
        <w:rPr>
          <w:rFonts w:hint="eastAsia"/>
          <w:b/>
        </w:rPr>
        <w:t>编制依据：</w:t>
      </w:r>
    </w:p>
    <w:p>
      <w:pPr>
        <w:pStyle w:val="61"/>
        <w:spacing w:line="540" w:lineRule="exact"/>
        <w:ind w:firstLine="640"/>
      </w:pPr>
      <w:r>
        <w:rPr>
          <w:rFonts w:hint="eastAsia"/>
        </w:rPr>
        <w:t>(1)</w:t>
      </w:r>
      <w:r>
        <w:rPr>
          <w:rFonts w:hint="eastAsia"/>
        </w:rPr>
        <w:tab/>
      </w:r>
      <w:r>
        <w:rPr>
          <w:rFonts w:hint="eastAsia"/>
        </w:rPr>
        <w:t>《国家现代综合规划》；</w:t>
      </w:r>
    </w:p>
    <w:p>
      <w:pPr>
        <w:pStyle w:val="61"/>
        <w:spacing w:line="540" w:lineRule="exact"/>
        <w:ind w:firstLine="640"/>
      </w:pPr>
      <w:r>
        <w:rPr>
          <w:rFonts w:hint="eastAsia"/>
        </w:rPr>
        <w:t>(2)</w:t>
      </w:r>
      <w:r>
        <w:rPr>
          <w:rFonts w:hint="eastAsia"/>
        </w:rPr>
        <w:tab/>
      </w:r>
      <w:r>
        <w:rPr>
          <w:rFonts w:hint="eastAsia"/>
        </w:rPr>
        <w:t>《交通强国建设纲要》；</w:t>
      </w:r>
    </w:p>
    <w:p>
      <w:pPr>
        <w:pStyle w:val="61"/>
        <w:spacing w:line="540" w:lineRule="exact"/>
        <w:ind w:firstLine="640"/>
      </w:pPr>
      <w:r>
        <w:rPr>
          <w:rFonts w:hint="eastAsia"/>
        </w:rPr>
        <w:t>(3)</w:t>
      </w:r>
      <w:r>
        <w:rPr>
          <w:rFonts w:hint="eastAsia"/>
        </w:rPr>
        <w:tab/>
      </w:r>
      <w:r>
        <w:rPr>
          <w:rFonts w:hint="eastAsia"/>
        </w:rPr>
        <w:t>《国家综合立体交通网规划纲要》；</w:t>
      </w:r>
    </w:p>
    <w:p>
      <w:pPr>
        <w:pStyle w:val="61"/>
        <w:spacing w:line="540" w:lineRule="exact"/>
        <w:ind w:firstLine="640"/>
      </w:pPr>
      <w:r>
        <w:rPr>
          <w:rFonts w:hint="eastAsia"/>
        </w:rPr>
        <w:t>(4)</w:t>
      </w:r>
      <w:r>
        <w:rPr>
          <w:rFonts w:hint="eastAsia"/>
        </w:rPr>
        <w:tab/>
      </w:r>
      <w:r>
        <w:rPr>
          <w:rFonts w:hint="eastAsia"/>
        </w:rPr>
        <w:t>《国家公路网规划(2013-2030年)》；</w:t>
      </w:r>
    </w:p>
    <w:p>
      <w:pPr>
        <w:pStyle w:val="61"/>
        <w:spacing w:line="540" w:lineRule="exact"/>
        <w:ind w:firstLine="640"/>
      </w:pPr>
      <w:r>
        <w:rPr>
          <w:rFonts w:hint="eastAsia"/>
        </w:rPr>
        <w:t>(5)</w:t>
      </w:r>
      <w:r>
        <w:rPr>
          <w:rFonts w:hint="eastAsia"/>
        </w:rPr>
        <w:tab/>
      </w:r>
      <w:r>
        <w:rPr>
          <w:rFonts w:hint="eastAsia"/>
        </w:rPr>
        <w:t>《加快推进绿色循环低碳交通运输发展指导意见》；</w:t>
      </w:r>
    </w:p>
    <w:p>
      <w:pPr>
        <w:pStyle w:val="61"/>
        <w:spacing w:line="540" w:lineRule="exact"/>
        <w:ind w:firstLine="640"/>
      </w:pPr>
      <w:r>
        <w:rPr>
          <w:rFonts w:hint="eastAsia"/>
        </w:rPr>
        <w:t>(6)</w:t>
      </w:r>
      <w:r>
        <w:rPr>
          <w:rFonts w:hint="eastAsia"/>
        </w:rPr>
        <w:tab/>
      </w:r>
      <w:r>
        <w:rPr>
          <w:rFonts w:hint="eastAsia"/>
        </w:rPr>
        <w:t>《中长期铁路网规划》（发改基础</w:t>
      </w:r>
      <w:r>
        <w:rPr>
          <w:rFonts w:hint="eastAsia" w:ascii="仿宋_GB2312" w:hAnsi="仿宋_GB2312" w:eastAsia="仿宋_GB2312" w:cs="仿宋_GB2312"/>
        </w:rPr>
        <w:t>〔</w:t>
      </w:r>
      <w:r>
        <w:rPr>
          <w:rFonts w:hint="eastAsia"/>
        </w:rPr>
        <w:t>2016</w:t>
      </w:r>
      <w:r>
        <w:rPr>
          <w:rFonts w:hint="eastAsia" w:ascii="仿宋_GB2312" w:hAnsi="仿宋_GB2312" w:eastAsia="仿宋_GB2312" w:cs="仿宋_GB2312"/>
        </w:rPr>
        <w:t>〕</w:t>
      </w:r>
      <w:r>
        <w:rPr>
          <w:rFonts w:hint="eastAsia"/>
        </w:rPr>
        <w:t>1536号）；</w:t>
      </w:r>
    </w:p>
    <w:p>
      <w:pPr>
        <w:pStyle w:val="61"/>
        <w:spacing w:line="540" w:lineRule="exact"/>
        <w:ind w:firstLine="640"/>
      </w:pPr>
      <w:r>
        <w:rPr>
          <w:rFonts w:hint="eastAsia"/>
        </w:rPr>
        <w:t>(7)</w:t>
      </w:r>
      <w:r>
        <w:rPr>
          <w:rFonts w:hint="eastAsia"/>
        </w:rPr>
        <w:tab/>
      </w:r>
      <w:r>
        <w:rPr>
          <w:rFonts w:hint="eastAsia"/>
        </w:rPr>
        <w:t>《安徽省交通运输“十三五”发展规划》；</w:t>
      </w:r>
    </w:p>
    <w:p>
      <w:pPr>
        <w:pStyle w:val="61"/>
        <w:spacing w:line="540" w:lineRule="exact"/>
        <w:ind w:firstLine="640"/>
      </w:pPr>
      <w:r>
        <w:rPr>
          <w:rFonts w:hint="eastAsia"/>
        </w:rPr>
        <w:t>(8)</w:t>
      </w:r>
      <w:r>
        <w:rPr>
          <w:rFonts w:hint="eastAsia"/>
        </w:rPr>
        <w:tab/>
      </w:r>
      <w:r>
        <w:rPr>
          <w:rFonts w:hint="eastAsia"/>
        </w:rPr>
        <w:t>《安徽省交通运输“十四五”发展规划》；</w:t>
      </w:r>
    </w:p>
    <w:p>
      <w:pPr>
        <w:pStyle w:val="61"/>
        <w:spacing w:line="540" w:lineRule="exact"/>
        <w:ind w:firstLine="640"/>
      </w:pPr>
      <w:r>
        <w:rPr>
          <w:rFonts w:hint="eastAsia"/>
        </w:rPr>
        <w:t>(9)</w:t>
      </w:r>
      <w:r>
        <w:rPr>
          <w:rFonts w:hint="eastAsia"/>
        </w:rPr>
        <w:tab/>
      </w:r>
      <w:r>
        <w:rPr>
          <w:rFonts w:hint="eastAsia"/>
        </w:rPr>
        <w:t>《安徽省普通省道网规划（2016-2030）》；</w:t>
      </w:r>
    </w:p>
    <w:p>
      <w:pPr>
        <w:pStyle w:val="61"/>
        <w:spacing w:line="540" w:lineRule="exact"/>
        <w:ind w:firstLine="640"/>
      </w:pPr>
      <w:r>
        <w:rPr>
          <w:rFonts w:hint="eastAsia"/>
        </w:rPr>
        <w:t>(10) 《安徽省综合立体交通网规划纲要》；</w:t>
      </w:r>
    </w:p>
    <w:p>
      <w:pPr>
        <w:pStyle w:val="61"/>
        <w:spacing w:line="540" w:lineRule="exact"/>
        <w:ind w:firstLine="640"/>
      </w:pPr>
      <w:r>
        <w:rPr>
          <w:rFonts w:hint="eastAsia"/>
        </w:rPr>
        <w:t>(11) 《池州市“十三五”综合交通运输发展规划》；</w:t>
      </w:r>
    </w:p>
    <w:p>
      <w:pPr>
        <w:pStyle w:val="61"/>
        <w:spacing w:line="540" w:lineRule="exact"/>
        <w:ind w:firstLine="640"/>
      </w:pPr>
      <w:r>
        <w:rPr>
          <w:rFonts w:hint="eastAsia"/>
        </w:rPr>
        <w:t>(12) 《池州市“十四五”综合交通运输发展规划》；</w:t>
      </w:r>
    </w:p>
    <w:p>
      <w:pPr>
        <w:pStyle w:val="61"/>
        <w:spacing w:line="540" w:lineRule="exact"/>
        <w:ind w:firstLine="640"/>
      </w:pPr>
      <w:r>
        <w:rPr>
          <w:rFonts w:hint="eastAsia"/>
        </w:rPr>
        <w:t>(13) 《池州市普通国省道等国土空间规划》；</w:t>
      </w:r>
    </w:p>
    <w:p>
      <w:pPr>
        <w:pStyle w:val="61"/>
        <w:spacing w:line="540" w:lineRule="exact"/>
        <w:ind w:left="1761" w:leftChars="267" w:hanging="1120" w:hangingChars="350"/>
      </w:pPr>
      <w:r>
        <w:rPr>
          <w:rFonts w:hint="eastAsia"/>
        </w:rPr>
        <w:t>(14) 《青阳县国民经济和社会发展第十四个五年规划和二〇三五年远景目标纲要》；</w:t>
      </w:r>
    </w:p>
    <w:p>
      <w:pPr>
        <w:pStyle w:val="61"/>
        <w:spacing w:line="540" w:lineRule="exact"/>
        <w:ind w:left="1761" w:leftChars="267" w:hanging="1120" w:hangingChars="350"/>
      </w:pPr>
      <w:r>
        <w:rPr>
          <w:rFonts w:hint="eastAsia"/>
        </w:rPr>
        <w:t>(15) 《青阳县“十三五”交通发展规划》；</w:t>
      </w:r>
    </w:p>
    <w:p>
      <w:pPr>
        <w:pStyle w:val="61"/>
        <w:spacing w:line="540" w:lineRule="exact"/>
        <w:ind w:firstLine="640"/>
      </w:pPr>
      <w:r>
        <w:rPr>
          <w:rFonts w:hint="eastAsia"/>
        </w:rPr>
        <w:t>(16) 《青阳县城市总体规划（2010-2030年）》；</w:t>
      </w:r>
    </w:p>
    <w:p>
      <w:pPr>
        <w:pStyle w:val="61"/>
        <w:spacing w:line="540" w:lineRule="exact"/>
        <w:ind w:firstLine="640"/>
      </w:pPr>
      <w:r>
        <w:rPr>
          <w:rFonts w:hint="eastAsia"/>
        </w:rPr>
        <w:t>(17) 《青阳县铁路专项规划》；</w:t>
      </w:r>
    </w:p>
    <w:p>
      <w:pPr>
        <w:pStyle w:val="61"/>
        <w:spacing w:line="540" w:lineRule="exact"/>
        <w:ind w:firstLine="640"/>
      </w:pPr>
      <w:r>
        <w:rPr>
          <w:rFonts w:hint="eastAsia"/>
        </w:rPr>
        <w:t>(18) 《青阳县农村公路网规划》；</w:t>
      </w:r>
    </w:p>
    <w:p>
      <w:pPr>
        <w:pStyle w:val="61"/>
        <w:spacing w:line="540" w:lineRule="exact"/>
        <w:ind w:firstLine="640"/>
      </w:pPr>
      <w:r>
        <w:rPr>
          <w:rFonts w:hint="eastAsia"/>
        </w:rPr>
        <w:t>(19) 《青阳县公共交通专项规划》；</w:t>
      </w:r>
    </w:p>
    <w:p>
      <w:pPr>
        <w:pStyle w:val="61"/>
        <w:spacing w:line="540" w:lineRule="exact"/>
        <w:ind w:firstLine="640"/>
      </w:pPr>
      <w:r>
        <w:rPr>
          <w:rFonts w:hint="eastAsia"/>
        </w:rPr>
        <w:t>(20) 《青阳县物流专项规划》；</w:t>
      </w:r>
    </w:p>
    <w:p/>
    <w:p/>
    <w:p/>
    <w:p/>
    <w:p/>
    <w:p/>
    <w:p/>
    <w:p/>
    <w:p/>
    <w:p/>
    <w:p/>
    <w:p/>
    <w:p>
      <w:pPr>
        <w:rPr>
          <w:rFonts w:ascii="黑体" w:hAnsi="黑体" w:eastAsia="黑体"/>
          <w:bCs/>
          <w:kern w:val="44"/>
          <w:sz w:val="44"/>
          <w:szCs w:val="36"/>
        </w:rPr>
      </w:pPr>
      <w:r>
        <w:br w:type="page"/>
      </w:r>
    </w:p>
    <w:p>
      <w:pPr>
        <w:pStyle w:val="61"/>
        <w:spacing w:line="540" w:lineRule="exact"/>
        <w:ind w:firstLine="640"/>
        <w:rPr>
          <w:szCs w:val="32"/>
        </w:rPr>
      </w:pPr>
    </w:p>
    <w:p>
      <w:pPr>
        <w:pStyle w:val="55"/>
        <w:spacing w:after="156" w:line="540" w:lineRule="exact"/>
        <w:rPr>
          <w:sz w:val="32"/>
          <w:szCs w:val="32"/>
        </w:rPr>
      </w:pPr>
      <w:bookmarkStart w:id="2" w:name="_Toc104537485"/>
      <w:r>
        <w:rPr>
          <w:rFonts w:hint="eastAsia"/>
          <w:sz w:val="32"/>
          <w:szCs w:val="32"/>
        </w:rPr>
        <w:t>第一章 发展基础</w:t>
      </w:r>
      <w:bookmarkEnd w:id="2"/>
    </w:p>
    <w:p>
      <w:pPr>
        <w:pStyle w:val="61"/>
        <w:spacing w:line="540" w:lineRule="exact"/>
        <w:ind w:firstLine="640"/>
        <w:rPr>
          <w:rFonts w:cs="黑体"/>
        </w:rPr>
      </w:pPr>
    </w:p>
    <w:p>
      <w:pPr>
        <w:pStyle w:val="57"/>
        <w:ind w:firstLine="640"/>
        <w:rPr>
          <w:rFonts w:cs="黑体"/>
          <w:szCs w:val="30"/>
        </w:rPr>
      </w:pPr>
      <w:bookmarkStart w:id="3" w:name="_Toc104537486"/>
      <w:r>
        <w:rPr>
          <w:rFonts w:hint="eastAsia" w:cs="黑体"/>
          <w:szCs w:val="30"/>
        </w:rPr>
        <w:t>一、“十三五”发展成就</w:t>
      </w:r>
      <w:bookmarkEnd w:id="3"/>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（一）交通基础设施优化升级</w:t>
      </w:r>
    </w:p>
    <w:p>
      <w:pPr>
        <w:pStyle w:val="61"/>
        <w:spacing w:line="540" w:lineRule="exact"/>
        <w:ind w:firstLine="640"/>
      </w:pPr>
      <w:r>
        <w:rPr>
          <w:rFonts w:hint="eastAsia"/>
        </w:rPr>
        <w:t>青阳县境内现状既有高速是G3京台高速，贯穿青阳县南北，境内里程51.4公里。</w:t>
      </w:r>
    </w:p>
    <w:p>
      <w:pPr>
        <w:pStyle w:val="61"/>
        <w:spacing w:line="540" w:lineRule="exact"/>
        <w:ind w:firstLine="640"/>
      </w:pPr>
      <w:r>
        <w:rPr>
          <w:rFonts w:hint="eastAsia"/>
        </w:rPr>
        <w:t>根据《国家公路网规划（2018年-2035年）》，青阳县境内S103升级为G330。国省干线公路建设步伐不断加快，已建成并通车G318青阳至南陵界公路改建工程（一期工程），建设长度13.7公里，衔接了城区、新河镇、木镇镇，并于2019年开工建设G318南陵界至木镇公路改建工程（二期工程），建设长度12.8公里，已于2021年建成通车。已建成并通车青阳至陵阳旅游大道建设工程（一期），蓉十路和龙青路成功创建“安徽省品质示范路”，开展S221（S358）青石路建设项目前期工作，二级公路20.45公里。</w:t>
      </w:r>
    </w:p>
    <w:p>
      <w:pPr>
        <w:pStyle w:val="61"/>
        <w:spacing w:line="540" w:lineRule="exact"/>
        <w:ind w:firstLine="640"/>
      </w:pPr>
      <w:r>
        <w:rPr>
          <w:rFonts w:hint="eastAsia"/>
        </w:rPr>
        <w:t>“十三五”期间农村公路网建设不断完善。青阳县先后创建“安徽省四好农村路示范县”、“四好农村路全国示范县”成功。期间全力组织实施以危桥改造民生工程和安保工程为重点的农村公路建设</w:t>
      </w:r>
      <w:r>
        <w:rPr>
          <w:rFonts w:hint="eastAsia"/>
          <w:lang w:eastAsia="zh-CN"/>
        </w:rPr>
        <w:t>，</w:t>
      </w:r>
      <w:r>
        <w:rPr>
          <w:rFonts w:hint="eastAsia"/>
        </w:rPr>
        <w:t>县道实现黑色化，乡镇村道路全部畅通。青阳境内2020年县道总里程年底到达222.678公里；乡道总里程年底到达469.102公里；村道总里程年底到达614.157公里。</w:t>
      </w:r>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（二）运输服务能力不断提升</w:t>
      </w:r>
    </w:p>
    <w:p>
      <w:pPr>
        <w:pStyle w:val="61"/>
        <w:spacing w:line="540" w:lineRule="exact"/>
        <w:ind w:firstLine="640"/>
        <w:rPr>
          <w:rFonts w:hint="eastAsia"/>
        </w:rPr>
      </w:pPr>
      <w:r>
        <w:rPr>
          <w:rFonts w:hint="eastAsia"/>
        </w:rPr>
        <w:t>加速推进了城乡公交一体化进程，开通了“池青九”首条跨县区公交。利用2年时间完成城乡公交全覆盖，青阳县纳入全省“城乡客运一体化示范县”试点县。目前青阳县公交总线路共有44条，其中城区公交5条（1路、2路、3路、4路、5路），城乡公交39条；总运营里程1064.5公里，其中城区公交38公</w:t>
      </w:r>
    </w:p>
    <w:p>
      <w:pPr>
        <w:pStyle w:val="61"/>
        <w:spacing w:line="540" w:lineRule="exact"/>
        <w:ind w:firstLine="640"/>
      </w:pPr>
      <w:r>
        <w:rPr>
          <w:rFonts w:hint="eastAsia"/>
        </w:rPr>
        <w:t>里，城乡公交1026.5公里。为推动区域协调发展、促进产业升级和新型城镇化建设提供了有力支撑，便捷高效的客运网络体系基本形成。</w:t>
      </w:r>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（三）落实交通绿色发展理念</w:t>
      </w:r>
    </w:p>
    <w:p>
      <w:pPr>
        <w:pStyle w:val="61"/>
        <w:spacing w:line="540" w:lineRule="exact"/>
        <w:ind w:firstLine="640"/>
      </w:pPr>
      <w:bookmarkStart w:id="131" w:name="_GoBack"/>
      <w:r>
        <w:rPr>
          <w:rFonts w:hint="eastAsia"/>
          <w:szCs w:val="32"/>
        </w:rPr>
        <w:t>开展了普通国省干线改建工程大气污染防治，重点对货</w:t>
      </w:r>
      <w:bookmarkEnd w:id="131"/>
      <w:r>
        <w:rPr>
          <w:rFonts w:hint="eastAsia"/>
          <w:szCs w:val="32"/>
        </w:rPr>
        <w:t>运源头单位货运车辆出场不覆盖、超限超载行为严管重罚，加强源头管控。统筹推进了港口船舶污染防治，</w:t>
      </w:r>
      <w:r>
        <w:rPr>
          <w:rFonts w:hint="eastAsia"/>
        </w:rPr>
        <w:t>实施岸电设施改造。</w:t>
      </w:r>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（四）行业治理效能不断提升</w:t>
      </w:r>
    </w:p>
    <w:p>
      <w:pPr>
        <w:pStyle w:val="61"/>
        <w:spacing w:line="540" w:lineRule="exact"/>
        <w:ind w:firstLine="640"/>
      </w:pPr>
      <w:r>
        <w:rPr>
          <w:rFonts w:hint="eastAsia"/>
        </w:rPr>
        <w:t>深化公路建设管理体制改革。大力推进公路建设模式、管理机制、监督体系等一系列配套改革，出台了一系列相关文件，并纳入省、市目标管理考核。大力推行国省干线等公路施工标准化建设，开展工程建设质量过程检测、跟踪审计等第三方监督，为全县公路建设加速推进提供了有力保障。深化运输管理体系改革，始终保持高压态势“铁腕”治超，成效显著。健全完善安全责任体系，坚持不懈地组织开展道路客货运、危货运输和工程建设领域安全隐患排查治理。加大安全生产投入，完成路面大中修、县乡村道生命安全防护工程、危桥改造、灾毁恢复重建、边坡生态防护、村道路肩硬化等，清理国省干线沿线广告设施。实行“三调联动”机制，深入开展行业矛盾纠纷排查化解工作，确保行业安全稳定。</w:t>
      </w:r>
    </w:p>
    <w:p>
      <w:pPr>
        <w:pStyle w:val="57"/>
        <w:ind w:firstLine="640"/>
        <w:rPr>
          <w:rFonts w:cs="黑体"/>
          <w:szCs w:val="30"/>
        </w:rPr>
      </w:pPr>
      <w:bookmarkStart w:id="4" w:name="_Toc104537487"/>
      <w:r>
        <w:rPr>
          <w:rFonts w:hint="eastAsia" w:cs="黑体"/>
          <w:szCs w:val="30"/>
        </w:rPr>
        <w:t>二、存在问题</w:t>
      </w:r>
      <w:bookmarkEnd w:id="4"/>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（一）高质量基础设施供给不足</w:t>
      </w:r>
    </w:p>
    <w:p>
      <w:pPr>
        <w:pStyle w:val="61"/>
        <w:spacing w:line="540" w:lineRule="exact"/>
        <w:ind w:firstLine="640"/>
      </w:pPr>
      <w:r>
        <w:rPr>
          <w:rFonts w:hint="eastAsia"/>
        </w:rPr>
        <w:t>县域内铁路里程短，高速铁路网建设仍需完善。普通国省干线一级公路骨架网尚需完善，二级公路占比有待提高。普通省道网规划调整后，大量新增路段亟待建设。航道通过能力需要提升；港区集约化、规模化、现代化程度有待加强。</w:t>
      </w:r>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（二）运输服务水平有待提高</w:t>
      </w:r>
    </w:p>
    <w:p>
      <w:pPr>
        <w:pStyle w:val="61"/>
        <w:spacing w:line="540" w:lineRule="exact"/>
        <w:ind w:firstLine="640"/>
      </w:pPr>
      <w:r>
        <w:rPr>
          <w:rFonts w:hint="eastAsia"/>
        </w:rPr>
        <w:t>公交线网精细化程度待提升，站点服务覆盖率有待进一步加强，新能源公交设施覆盖率需要进一步提高。运输专业化组织程度待提升，物流发展短板较多，物流中心、服务站点、配送体系亟待建设。港口集疏运体系不够完善，铁水联运发展有待加强。</w:t>
      </w:r>
    </w:p>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（三）安全保障能力仍需增强</w:t>
      </w:r>
    </w:p>
    <w:p>
      <w:pPr>
        <w:pStyle w:val="61"/>
        <w:spacing w:line="540" w:lineRule="exact"/>
        <w:ind w:firstLine="640"/>
      </w:pPr>
      <w:r>
        <w:rPr>
          <w:rFonts w:hint="eastAsia"/>
        </w:rPr>
        <w:t>农村公路安保设施、安全监管设施仍需完善。现代化安全监管设施有待提升，安全智能监管和应急平台尚未建立，各种运输方式间的应急信息尚未共享，交通运输应急保障能力有待提高。</w:t>
      </w:r>
    </w:p>
    <w:p>
      <w:pPr>
        <w:pStyle w:val="61"/>
        <w:spacing w:line="540" w:lineRule="exact"/>
        <w:ind w:firstLine="640"/>
        <w:rPr>
          <w:rFonts w:ascii="黑体" w:hAnsi="黑体" w:eastAsia="黑体" w:cs="黑体"/>
        </w:rPr>
      </w:pPr>
      <w:r>
        <w:rPr>
          <w:rFonts w:hint="eastAsia" w:ascii="楷体_GB2312" w:hAnsi="楷体_GB2312" w:eastAsia="楷体_GB2312" w:cs="楷体_GB2312"/>
          <w:b/>
          <w:bCs/>
        </w:rPr>
        <w:t>（四）智慧交通发展相对滞后</w:t>
      </w:r>
    </w:p>
    <w:p>
      <w:pPr>
        <w:pStyle w:val="61"/>
        <w:spacing w:line="540" w:lineRule="exact"/>
        <w:ind w:firstLine="640"/>
      </w:pPr>
      <w:r>
        <w:rPr>
          <w:rFonts w:hint="eastAsia"/>
        </w:rPr>
        <w:t>数字交通建设刚刚起步，投入不足、统筹不够，应用物联网、大数据、人工智能等新技术较少，智能出行与智慧物流等智慧交通短板较明显，难以满足未来长三角区域交通一体化发展的需要。</w:t>
      </w:r>
    </w:p>
    <w:p>
      <w:pPr>
        <w:pStyle w:val="61"/>
        <w:spacing w:line="540" w:lineRule="exact"/>
        <w:ind w:firstLine="640"/>
      </w:pPr>
      <w:r>
        <w:br w:type="page"/>
      </w:r>
    </w:p>
    <w:p>
      <w:pPr>
        <w:pStyle w:val="61"/>
        <w:spacing w:line="540" w:lineRule="exact"/>
        <w:ind w:firstLine="640"/>
        <w:rPr>
          <w:szCs w:val="32"/>
        </w:rPr>
      </w:pPr>
    </w:p>
    <w:p>
      <w:pPr>
        <w:pStyle w:val="55"/>
        <w:spacing w:after="156" w:line="540" w:lineRule="exact"/>
        <w:rPr>
          <w:sz w:val="32"/>
          <w:szCs w:val="32"/>
        </w:rPr>
      </w:pPr>
      <w:bookmarkStart w:id="5" w:name="_Toc104537488"/>
      <w:r>
        <w:rPr>
          <w:rFonts w:hint="eastAsia"/>
          <w:sz w:val="32"/>
          <w:szCs w:val="32"/>
        </w:rPr>
        <w:t>第二章 形势与要求</w:t>
      </w:r>
      <w:bookmarkEnd w:id="5"/>
    </w:p>
    <w:p>
      <w:pPr>
        <w:pStyle w:val="61"/>
        <w:spacing w:line="540" w:lineRule="exact"/>
        <w:ind w:firstLine="640"/>
      </w:pPr>
    </w:p>
    <w:p>
      <w:pPr>
        <w:pStyle w:val="61"/>
        <w:spacing w:line="540" w:lineRule="exact"/>
        <w:ind w:firstLine="640"/>
      </w:pPr>
      <w:r>
        <w:rPr>
          <w:rFonts w:hint="eastAsia"/>
        </w:rPr>
        <w:t>十九大明确提出建设“交通强国”, 国家加快构建以国内大循环为主体、国内国际双循环相互促进的新发展格局，省委、省政府大力推动皖江城市带承接产业转移示范区、皖南国际文化旅游示范区等“一圈五区”协调发展。长三角一体化发展上升为国家战略，进一步完善了中国改革开放空间格局，对于交通运输而言，是全面对接沪苏浙，形成区域联动发展的新态势，实现更高质量一体化发展的重大机遇。</w:t>
      </w:r>
    </w:p>
    <w:p>
      <w:pPr>
        <w:pStyle w:val="61"/>
        <w:spacing w:line="540" w:lineRule="exact"/>
        <w:ind w:firstLine="640"/>
      </w:pPr>
      <w:r>
        <w:rPr>
          <w:rFonts w:hint="eastAsia"/>
        </w:rPr>
        <w:t>青阳县必须深刻认识新发展阶段带来的新方位新机遇，胸怀两个大局，着力转变交通发展方式，加快补齐发展短板，全方位推动设施联网优化、服务提质升级，推进各种交通方式融合发展，构建发达高效的快速网、完善顺畅的干线网、广泛便捷的基础网。</w:t>
      </w:r>
    </w:p>
    <w:p>
      <w:pPr>
        <w:pStyle w:val="61"/>
        <w:spacing w:line="540" w:lineRule="exact"/>
        <w:ind w:firstLine="640"/>
        <w:rPr>
          <w:rFonts w:ascii="黑体" w:hAnsi="黑体" w:eastAsia="黑体" w:cs="黑体"/>
        </w:rPr>
      </w:pPr>
      <w:r>
        <w:rPr>
          <w:rFonts w:hint="eastAsia" w:ascii="黑体" w:hAnsi="黑体" w:eastAsia="黑体" w:cs="黑体"/>
        </w:rPr>
        <w:t>（一）建设环保运输体系，要求促进货运绿色转型</w:t>
      </w:r>
    </w:p>
    <w:p>
      <w:pPr>
        <w:pStyle w:val="61"/>
        <w:spacing w:line="540" w:lineRule="exact"/>
        <w:ind w:firstLine="640"/>
      </w:pPr>
      <w:r>
        <w:t>交通要发展成为可持续、协调的</w:t>
      </w:r>
      <w:r>
        <w:rPr>
          <w:rFonts w:hint="eastAsia"/>
        </w:rPr>
        <w:t>绿色</w:t>
      </w:r>
      <w:r>
        <w:t>交通</w:t>
      </w:r>
      <w:r>
        <w:rPr>
          <w:rFonts w:hint="eastAsia"/>
        </w:rPr>
        <w:t>。加强</w:t>
      </w:r>
      <w:r>
        <w:rPr>
          <w:rFonts w:hint="eastAsia"/>
          <w:bCs/>
        </w:rPr>
        <w:t>重点领域污染防治，优化货运组织化水平，建设铁路专用线，推动货运物流“降本增效”，</w:t>
      </w:r>
      <w:r>
        <w:rPr>
          <w:rFonts w:hint="eastAsia"/>
        </w:rPr>
        <w:t>加快树立货运全面绿色转型“新样板”，广泛形成绿色生产生活方式，确保生态环境质量持续领先，基本实现绿色发展的美丽青阳建设目标</w:t>
      </w:r>
      <w:r>
        <w:rPr>
          <w:rFonts w:hint="eastAsia"/>
          <w:bCs/>
        </w:rPr>
        <w:t>。</w:t>
      </w:r>
    </w:p>
    <w:p>
      <w:pPr>
        <w:pStyle w:val="61"/>
        <w:spacing w:line="540" w:lineRule="exact"/>
        <w:ind w:firstLine="640"/>
        <w:rPr>
          <w:rFonts w:ascii="黑体" w:hAnsi="黑体" w:eastAsia="黑体" w:cs="黑体"/>
        </w:rPr>
      </w:pPr>
      <w:r>
        <w:rPr>
          <w:rFonts w:hint="eastAsia" w:ascii="黑体" w:hAnsi="黑体" w:eastAsia="黑体" w:cs="黑体"/>
        </w:rPr>
        <w:t>（二）把握工业和文旅“双支撑”，要求交旅融合发展</w:t>
      </w:r>
    </w:p>
    <w:p>
      <w:pPr>
        <w:pStyle w:val="61"/>
        <w:spacing w:line="540" w:lineRule="exact"/>
        <w:ind w:firstLine="640"/>
      </w:pPr>
      <w:r>
        <w:rPr>
          <w:rFonts w:hint="eastAsia"/>
        </w:rPr>
        <w:t>抓住县域经济内生潜力带来的机遇，把握工业和文旅“双支撑”体系，在“十四五”期间，充分释放青阳县交通行业整体势能，促进文旅产业加速融合，凸显皖南国际文化旅游示范区核心区优势，推动青阳全域旅游，创建交旅融合品牌，进一步彰显文旅、康养、休闲、运动等特色品牌价值，提升“九华圣境、灵秀青阳”品牌影响力，将其转化为青阳可持续发展的竞争力。</w:t>
      </w:r>
    </w:p>
    <w:p>
      <w:pPr>
        <w:pStyle w:val="61"/>
        <w:spacing w:line="540" w:lineRule="exact"/>
        <w:ind w:firstLine="640"/>
        <w:rPr>
          <w:rFonts w:ascii="黑体" w:hAnsi="黑体" w:eastAsia="黑体" w:cs="黑体"/>
        </w:rPr>
      </w:pPr>
      <w:r>
        <w:rPr>
          <w:rFonts w:hint="eastAsia" w:ascii="黑体" w:hAnsi="黑体" w:eastAsia="黑体" w:cs="黑体"/>
        </w:rPr>
        <w:t>（三）跟紧“新型城镇化”步伐，要求城乡交通运输一体化发展</w:t>
      </w:r>
    </w:p>
    <w:p>
      <w:pPr>
        <w:pStyle w:val="61"/>
        <w:spacing w:line="540" w:lineRule="exact"/>
        <w:ind w:firstLine="640"/>
      </w:pPr>
      <w:r>
        <w:rPr>
          <w:rFonts w:hint="eastAsia"/>
        </w:rPr>
        <w:t>立足城乡居民美好生活需要，优化乡村生产生活生态空间，加快推进城乡基础设施一体化和基本公共服务均等化、优质化，持续改善村容村貌和人居环境，振兴乡村，建设新时代幸福新农村，要求加快城镇公共服务向农村延伸，增强基础设施承载力，健全农村公共基础设施管护机制，促进城乡基础设施互联互通、共建共享，构建布局合理、功能完备、安全高效的城乡交通运输一体化机制，筑牢乡村振兴硬件支撑。</w:t>
      </w:r>
    </w:p>
    <w:p>
      <w:pPr>
        <w:pStyle w:val="61"/>
        <w:spacing w:line="540" w:lineRule="exact"/>
        <w:ind w:firstLine="640"/>
      </w:pPr>
    </w:p>
    <w:p>
      <w:pPr>
        <w:pStyle w:val="61"/>
        <w:spacing w:line="540" w:lineRule="exact"/>
        <w:ind w:firstLine="640"/>
      </w:pPr>
    </w:p>
    <w:p>
      <w:pPr>
        <w:pStyle w:val="61"/>
        <w:spacing w:line="540" w:lineRule="exact"/>
        <w:ind w:firstLine="0" w:firstLineChars="0"/>
        <w:rPr>
          <w:rFonts w:ascii="黑体" w:hAnsi="黑体" w:eastAsia="黑体" w:cs="黑体"/>
        </w:rPr>
      </w:pPr>
    </w:p>
    <w:p>
      <w:pPr>
        <w:pStyle w:val="61"/>
        <w:spacing w:line="540" w:lineRule="exact"/>
        <w:ind w:firstLine="640"/>
        <w:sectPr>
          <w:headerReference r:id="rId6" w:type="default"/>
          <w:footerReference r:id="rId7" w:type="default"/>
          <w:pgSz w:w="11907" w:h="16839"/>
          <w:pgMar w:top="1440" w:right="1800" w:bottom="1440" w:left="1800" w:header="851" w:footer="992" w:gutter="0"/>
          <w:pgNumType w:start="1"/>
          <w:cols w:space="425" w:num="1"/>
          <w:docGrid w:type="lines" w:linePitch="312" w:charSpace="0"/>
        </w:sectPr>
      </w:pPr>
    </w:p>
    <w:p>
      <w:pPr>
        <w:pStyle w:val="61"/>
        <w:spacing w:line="540" w:lineRule="exact"/>
        <w:ind w:firstLine="640"/>
        <w:rPr>
          <w:szCs w:val="32"/>
        </w:rPr>
      </w:pPr>
    </w:p>
    <w:p>
      <w:pPr>
        <w:pStyle w:val="55"/>
        <w:spacing w:after="156" w:line="540" w:lineRule="exact"/>
        <w:rPr>
          <w:sz w:val="32"/>
          <w:szCs w:val="32"/>
        </w:rPr>
      </w:pPr>
      <w:bookmarkStart w:id="6" w:name="_Toc104537489"/>
      <w:r>
        <w:rPr>
          <w:rFonts w:hint="eastAsia"/>
          <w:sz w:val="32"/>
          <w:szCs w:val="32"/>
        </w:rPr>
        <w:t>第三章 指导思想和规划目标</w:t>
      </w:r>
      <w:bookmarkEnd w:id="6"/>
    </w:p>
    <w:p>
      <w:pPr>
        <w:pStyle w:val="61"/>
        <w:spacing w:line="540" w:lineRule="exact"/>
        <w:ind w:firstLine="640"/>
        <w:rPr>
          <w:rFonts w:ascii="黑体" w:hAnsi="黑体" w:eastAsia="黑体" w:cs="黑体"/>
        </w:rPr>
      </w:pPr>
    </w:p>
    <w:p>
      <w:pPr>
        <w:pStyle w:val="61"/>
        <w:spacing w:line="540" w:lineRule="exact"/>
        <w:ind w:firstLine="640"/>
        <w:rPr>
          <w:rFonts w:ascii="黑体" w:hAnsi="黑体" w:eastAsia="黑体" w:cs="黑体"/>
        </w:rPr>
      </w:pPr>
      <w:r>
        <w:rPr>
          <w:rFonts w:hint="eastAsia" w:ascii="黑体" w:hAnsi="黑体" w:eastAsia="黑体" w:cs="黑体"/>
        </w:rPr>
        <w:t>一、指导思想</w:t>
      </w:r>
    </w:p>
    <w:p>
      <w:pPr>
        <w:pStyle w:val="61"/>
        <w:spacing w:line="540" w:lineRule="exact"/>
        <w:ind w:firstLine="640"/>
      </w:pPr>
      <w:r>
        <w:rPr>
          <w:rFonts w:hint="eastAsia"/>
          <w:lang w:eastAsia="zh-CN"/>
        </w:rPr>
        <w:t>以习近平新时代中国特色社会主义思想为指导，</w:t>
      </w:r>
      <w:r>
        <w:rPr>
          <w:rFonts w:hint="eastAsia"/>
        </w:rPr>
        <w:t>全面贯彻党的十九大和十九届</w:t>
      </w:r>
      <w:r>
        <w:rPr>
          <w:rFonts w:hint="eastAsia"/>
          <w:lang w:eastAsia="zh-CN"/>
        </w:rPr>
        <w:t>历次</w:t>
      </w:r>
      <w:r>
        <w:rPr>
          <w:rFonts w:hint="eastAsia"/>
        </w:rPr>
        <w:t>全会精神，</w:t>
      </w:r>
      <w:r>
        <w:rPr>
          <w:rFonts w:hint="eastAsia"/>
          <w:lang w:eastAsia="zh-CN"/>
        </w:rPr>
        <w:t>深入</w:t>
      </w:r>
      <w:r>
        <w:rPr>
          <w:rFonts w:hint="eastAsia"/>
        </w:rPr>
        <w:t>贯彻</w:t>
      </w:r>
      <w:r>
        <w:rPr>
          <w:rFonts w:hint="eastAsia"/>
          <w:lang w:eastAsia="zh-CN"/>
        </w:rPr>
        <w:t>落实</w:t>
      </w:r>
      <w:r>
        <w:rPr>
          <w:rFonts w:hint="eastAsia"/>
        </w:rPr>
        <w:t>习近平总书记考察安徽重要讲话指示精神，全面贯彻党的基本理论、基本路线、基本方略，统筹推进“五位一体”总体布局，协调推进“四个全面”战略布局，科学把握新发展阶段，坚决贯彻新发展理念，服务构建新发展格局，坚持稳中求进工作总基调，以推动高质量发展为主题，以深化供给侧结构性改革为主线，以改革创新为根本动力，以满足人民日益增长的美好生活需要为根本目的，统筹发展和安全，持续实施五大发展行动计划，扎实推进长三角一体化发展进程，做大做强工业与文旅“两大支撑”，深入实施生态立县、工业强县、文旅名县、科创兴县“四大战略”，着力推动园区、景区、城区、乡村振兴先行区“四区同步”，努力实现创新驱动力显著提升、发展协调性显著增强、生态竞争力显著提高、经济开放度显著扩大、群众获得感显著增进“五大目标”，加快推进新阶段现代化“九华圣境、灵秀青阳”建设，奋力开创青阳县交通运输业高质量跨越式发展新局面。</w:t>
      </w:r>
    </w:p>
    <w:p>
      <w:pPr>
        <w:pStyle w:val="61"/>
        <w:spacing w:line="540" w:lineRule="exact"/>
        <w:ind w:firstLine="640"/>
        <w:rPr>
          <w:rFonts w:ascii="黑体" w:hAnsi="黑体" w:eastAsia="黑体" w:cs="黑体"/>
        </w:rPr>
      </w:pPr>
      <w:r>
        <w:rPr>
          <w:rFonts w:hint="eastAsia" w:ascii="黑体" w:hAnsi="黑体" w:eastAsia="黑体" w:cs="黑体"/>
        </w:rPr>
        <w:t>二、基本原则</w:t>
      </w:r>
    </w:p>
    <w:p>
      <w:pPr>
        <w:pStyle w:val="61"/>
        <w:spacing w:line="540" w:lineRule="exact"/>
        <w:ind w:firstLine="643"/>
      </w:pPr>
      <w:r>
        <w:rPr>
          <w:rFonts w:hint="eastAsia"/>
          <w:b/>
          <w:bCs/>
        </w:rPr>
        <w:t>——服务人民。</w:t>
      </w:r>
      <w:r>
        <w:rPr>
          <w:rFonts w:hint="eastAsia"/>
        </w:rPr>
        <w:t>适应社会经济进入高质量发展阶段，社会主要矛盾转变的新形势，坚持以人民为中心，以人民满意为根本评判标准，完善基础设施网络，优化运输结构，提升运输服务水平，满足人民日益增长的个性化、多样化出行需求。</w:t>
      </w:r>
    </w:p>
    <w:p>
      <w:pPr>
        <w:pStyle w:val="61"/>
        <w:spacing w:line="540" w:lineRule="exact"/>
        <w:ind w:firstLine="643"/>
      </w:pPr>
      <w:r>
        <w:rPr>
          <w:rFonts w:hint="eastAsia"/>
          <w:b/>
          <w:bCs/>
        </w:rPr>
        <w:t>——布局合理。</w:t>
      </w:r>
      <w:r>
        <w:rPr>
          <w:rFonts w:hint="eastAsia"/>
        </w:rPr>
        <w:t>按照区域发展总体战略要求，与城镇体系规划、资源分布和产业布局相适应，统筹经济社会和旅游发展需要，合理布局道路网络。积极谋划推进重大交通基础设施项目，在满足现阶段交通运输需求的基础上，使交通基础设施能力适度超前，对经济社会发展起到先行引领作用。</w:t>
      </w:r>
    </w:p>
    <w:p>
      <w:pPr>
        <w:pStyle w:val="61"/>
        <w:spacing w:line="540" w:lineRule="exact"/>
        <w:ind w:firstLine="643"/>
      </w:pPr>
      <w:r>
        <w:rPr>
          <w:rFonts w:hint="eastAsia"/>
          <w:b/>
          <w:bCs/>
        </w:rPr>
        <w:t>——绿色安全。</w:t>
      </w:r>
      <w:r>
        <w:rPr>
          <w:rFonts w:hint="eastAsia"/>
        </w:rPr>
        <w:t>充分利用既有路线，节约集约利用土地；加强生态环境保护，贯彻低碳发展理念，避让环境敏感区和生态脆弱区，走资源节约型和环境友好型发展道路。大力推进交通运输绿色、低碳发展。依靠理念、体制和科技创新，以节约资源、能源为重点，加快建立以低碳为特征的交通运输体系，减少交通运输对环境的负面影响，建设“绿色交通”。把安全保障作为前提，牢固树立“安全第一”的理念，按照“预防为主、综合治理”的方针，全面提高交通运输的安全性、可靠性和应对自然灾害、突发事件的反应能力，全面推进公路的安全生命防护工程建设。</w:t>
      </w:r>
    </w:p>
    <w:p>
      <w:pPr>
        <w:pStyle w:val="61"/>
        <w:spacing w:line="540" w:lineRule="exact"/>
        <w:ind w:firstLine="640"/>
        <w:rPr>
          <w:rFonts w:ascii="黑体" w:hAnsi="黑体" w:eastAsia="黑体" w:cs="黑体"/>
        </w:rPr>
      </w:pPr>
      <w:bookmarkStart w:id="7" w:name="_Toc81675172"/>
      <w:r>
        <w:rPr>
          <w:rFonts w:hint="eastAsia" w:ascii="黑体" w:hAnsi="黑体" w:eastAsia="黑体" w:cs="黑体"/>
        </w:rPr>
        <w:t>三、发展战略</w:t>
      </w:r>
      <w:bookmarkEnd w:id="7"/>
      <w:r>
        <w:rPr>
          <w:rFonts w:hint="eastAsia" w:ascii="黑体" w:hAnsi="黑体" w:eastAsia="黑体" w:cs="黑体"/>
        </w:rPr>
        <w:t>和目标</w:t>
      </w:r>
    </w:p>
    <w:p>
      <w:pPr>
        <w:pStyle w:val="61"/>
        <w:spacing w:line="540" w:lineRule="exact"/>
        <w:ind w:firstLine="640"/>
        <w:rPr>
          <w:rFonts w:ascii="黑体" w:hAnsi="黑体" w:eastAsia="黑体" w:cs="黑体"/>
        </w:rPr>
      </w:pPr>
      <w:r>
        <w:rPr>
          <w:rFonts w:hint="eastAsia" w:ascii="楷体_GB2312" w:hAnsi="楷体_GB2312" w:eastAsia="楷体_GB2312" w:cs="楷体_GB2312"/>
          <w:b/>
          <w:bCs/>
        </w:rPr>
        <w:t>（一）发展战略</w:t>
      </w:r>
    </w:p>
    <w:p>
      <w:pPr>
        <w:pStyle w:val="61"/>
        <w:spacing w:line="540" w:lineRule="exact"/>
        <w:ind w:firstLine="640"/>
      </w:pPr>
      <w:r>
        <w:rPr>
          <w:rFonts w:hint="eastAsia"/>
        </w:rPr>
        <w:t xml:space="preserve"> “十四五”时期，围绕推进新阶段现代化“九华圣境、灵秀青阳”，统筹区域交通、城乡交通、综合交通一体化建设，打通对外通道，畅通内部循环，打造长三角联通中西部的重要交通节点。重点实施“2369”战略。</w:t>
      </w:r>
    </w:p>
    <w:p>
      <w:pPr>
        <w:pStyle w:val="61"/>
        <w:spacing w:line="540" w:lineRule="exact"/>
        <w:ind w:firstLine="640"/>
      </w:pPr>
      <w:r>
        <w:rPr>
          <w:rFonts w:hint="eastAsia"/>
        </w:rPr>
        <w:t>紧扣2个主题：一体化、高质量。</w:t>
      </w:r>
    </w:p>
    <w:p>
      <w:pPr>
        <w:pStyle w:val="61"/>
        <w:spacing w:line="540" w:lineRule="exact"/>
        <w:ind w:firstLine="640"/>
      </w:pPr>
      <w:r>
        <w:rPr>
          <w:rFonts w:hint="eastAsia"/>
        </w:rPr>
        <w:t>建设3张网络：快速网、干线网、基础网。</w:t>
      </w:r>
    </w:p>
    <w:p>
      <w:pPr>
        <w:pStyle w:val="61"/>
        <w:spacing w:line="540" w:lineRule="exact"/>
        <w:ind w:firstLine="640"/>
      </w:pPr>
      <w:r>
        <w:rPr>
          <w:rFonts w:hint="eastAsia"/>
        </w:rPr>
        <w:t>实施6大重点：发展格局突破创新、运输服务优质高效、智慧交通创新应用、绿色交通持续发展、安全保障可靠有力、交通旅游融合推进。</w:t>
      </w:r>
    </w:p>
    <w:p>
      <w:pPr>
        <w:pStyle w:val="61"/>
        <w:spacing w:line="540" w:lineRule="exact"/>
        <w:ind w:firstLine="640"/>
      </w:pPr>
      <w:r>
        <w:rPr>
          <w:rFonts w:hint="eastAsia"/>
        </w:rPr>
        <w:t>完成约90亿元投资（不含铁路）。其中，2021年预计投资约6亿元，2022年预计投资约20亿元，2023年预计投资约19亿元，2024年预计投资约25亿元，2025年预计投资约23亿元。资金来源于上级补助和地方自筹。</w:t>
      </w:r>
    </w:p>
    <w:p>
      <w:pPr>
        <w:snapToGrid w:val="0"/>
        <w:spacing w:beforeLines="50" w:line="360" w:lineRule="auto"/>
        <w:jc w:val="center"/>
        <w:rPr>
          <w:rFonts w:ascii="黑体" w:hAnsi="宋体" w:eastAsia="黑体"/>
          <w:bCs/>
        </w:rPr>
      </w:pPr>
      <w:r>
        <w:rPr>
          <w:rFonts w:hint="eastAsia" w:ascii="黑体" w:hAnsi="宋体" w:eastAsia="黑体"/>
          <w:bCs/>
        </w:rPr>
        <w:t>表</w:t>
      </w:r>
      <w:r>
        <w:rPr>
          <w:rFonts w:ascii="黑体" w:hAnsi="宋体" w:eastAsia="黑体"/>
          <w:bCs/>
        </w:rPr>
        <w:t xml:space="preserve">1  </w:t>
      </w:r>
      <w:r>
        <w:rPr>
          <w:rFonts w:hint="eastAsia" w:ascii="黑体" w:hAnsi="宋体" w:eastAsia="黑体"/>
          <w:bCs/>
        </w:rPr>
        <w:t>青阳县交通运输“十四五”建设投资表</w:t>
      </w:r>
    </w:p>
    <w:tbl>
      <w:tblPr>
        <w:tblStyle w:val="24"/>
        <w:tblW w:w="852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77"/>
        <w:gridCol w:w="564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877" w:type="dxa"/>
            <w:vMerge w:val="restart"/>
            <w:shd w:val="clear" w:color="auto" w:fill="auto"/>
            <w:vAlign w:val="center"/>
          </w:tcPr>
          <w:p>
            <w:pPr>
              <w:spacing w:line="360" w:lineRule="exact"/>
              <w:jc w:val="center"/>
              <w:rPr>
                <w:rFonts w:ascii="黑体" w:hAnsi="黑体" w:eastAsia="黑体"/>
              </w:rPr>
            </w:pPr>
          </w:p>
        </w:tc>
        <w:tc>
          <w:tcPr>
            <w:tcW w:w="5645" w:type="dxa"/>
            <w:vMerge w:val="restart"/>
            <w:shd w:val="clear" w:color="auto" w:fill="auto"/>
            <w:vAlign w:val="center"/>
          </w:tcPr>
          <w:p>
            <w:pPr>
              <w:spacing w:line="360" w:lineRule="exact"/>
              <w:jc w:val="center"/>
              <w:rPr>
                <w:rFonts w:ascii="黑体" w:hAnsi="黑体" w:eastAsia="黑体"/>
              </w:rPr>
            </w:pPr>
            <w:r>
              <w:rPr>
                <w:rFonts w:hint="eastAsia" w:ascii="黑体" w:hAnsi="黑体" w:eastAsia="黑体"/>
              </w:rPr>
              <w:t>“十四五”预计投资，亿元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 w:hRule="exact"/>
          <w:jc w:val="center"/>
        </w:trPr>
        <w:tc>
          <w:tcPr>
            <w:tcW w:w="2877" w:type="dxa"/>
            <w:vMerge w:val="continue"/>
            <w:vAlign w:val="center"/>
          </w:tcPr>
          <w:p>
            <w:pPr>
              <w:spacing w:line="360" w:lineRule="exact"/>
              <w:jc w:val="center"/>
              <w:rPr>
                <w:rFonts w:ascii="仿宋_GB2312" w:hAnsi="仿宋" w:eastAsia="仿宋_GB2312"/>
              </w:rPr>
            </w:pPr>
          </w:p>
        </w:tc>
        <w:tc>
          <w:tcPr>
            <w:tcW w:w="5645" w:type="dxa"/>
            <w:vMerge w:val="continue"/>
            <w:vAlign w:val="center"/>
          </w:tcPr>
          <w:p>
            <w:pPr>
              <w:spacing w:line="360" w:lineRule="exact"/>
              <w:jc w:val="center"/>
              <w:rPr>
                <w:rFonts w:ascii="仿宋_GB2312" w:hAnsi="仿宋" w:eastAsia="仿宋_GB231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高速公路</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24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普通国省道</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32.81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农村公路</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13.45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水运</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8.32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航空</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bookmarkStart w:id="8" w:name="_Hlk90928626"/>
            <w:r>
              <w:rPr>
                <w:rFonts w:hint="eastAsia" w:ascii="仿宋_GB2312" w:hAnsi="仿宋" w:eastAsia="仿宋_GB2312"/>
              </w:rPr>
              <w:t>枢纽场站</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13.8</w:t>
            </w:r>
          </w:p>
        </w:tc>
      </w:tr>
      <w:bookmarkEnd w:id="8"/>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2877"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合计</w:t>
            </w:r>
          </w:p>
        </w:tc>
        <w:tc>
          <w:tcPr>
            <w:tcW w:w="5645"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93.38</w:t>
            </w:r>
          </w:p>
        </w:tc>
      </w:tr>
    </w:tbl>
    <w:p>
      <w:pPr>
        <w:pStyle w:val="61"/>
        <w:spacing w:line="540" w:lineRule="exact"/>
        <w:ind w:firstLine="640"/>
        <w:rPr>
          <w:rFonts w:hint="eastAsia" w:ascii="楷体_GB2312" w:hAnsi="楷体_GB2312" w:eastAsia="楷体_GB2312" w:cs="楷体_GB2312"/>
          <w:b/>
          <w:bCs/>
        </w:rPr>
      </w:pPr>
      <w:bookmarkStart w:id="9" w:name="_Toc81675175"/>
      <w:r>
        <w:rPr>
          <w:rFonts w:hint="eastAsia" w:ascii="楷体_GB2312" w:hAnsi="楷体_GB2312" w:eastAsia="楷体_GB2312" w:cs="楷体_GB2312"/>
          <w:b/>
          <w:bCs/>
        </w:rPr>
        <w:t>（二）总体目标</w:t>
      </w:r>
    </w:p>
    <w:p>
      <w:pPr>
        <w:pStyle w:val="61"/>
        <w:spacing w:line="540" w:lineRule="exact"/>
        <w:ind w:firstLine="643"/>
        <w:rPr>
          <w:b/>
          <w:bCs/>
        </w:rPr>
      </w:pPr>
      <w:r>
        <w:rPr>
          <w:rFonts w:hint="eastAsia"/>
          <w:b/>
          <w:bCs/>
        </w:rPr>
        <w:t>——“十四五”发展目标</w:t>
      </w:r>
    </w:p>
    <w:p>
      <w:pPr>
        <w:pStyle w:val="61"/>
        <w:spacing w:line="540" w:lineRule="exact"/>
        <w:ind w:firstLine="640"/>
      </w:pPr>
      <w:r>
        <w:rPr>
          <w:rFonts w:hint="eastAsia"/>
        </w:rPr>
        <w:t>到2025年，现代化综合交通体系初步形成，交通基础设施网络立体互联，综合运输服务便捷高效，科技与信息化智能先进，资源利用集约节约，安全应急保障有力，行业治理规范高效。初步构建安池铜城市群15分钟通行、合肥都市圈1小时通达、长三角2小时覆盖的交通出行圈，交通强国试点任务高质量完成，人民群众对交通运输的满意度明显提高。</w:t>
      </w:r>
    </w:p>
    <w:p>
      <w:pPr>
        <w:pStyle w:val="61"/>
        <w:spacing w:line="540" w:lineRule="exact"/>
        <w:ind w:firstLine="643"/>
        <w:rPr>
          <w:b/>
          <w:bCs/>
        </w:rPr>
      </w:pPr>
      <w:r>
        <w:rPr>
          <w:rFonts w:hint="eastAsia"/>
          <w:b/>
          <w:bCs/>
        </w:rPr>
        <w:t>——2035年远景目标</w:t>
      </w:r>
    </w:p>
    <w:p>
      <w:pPr>
        <w:pStyle w:val="61"/>
        <w:spacing w:line="540" w:lineRule="exact"/>
        <w:ind w:firstLine="640"/>
      </w:pPr>
      <w:r>
        <w:rPr>
          <w:rFonts w:hint="eastAsia"/>
        </w:rPr>
        <w:t>展望至2035年，基础设施向强通道、强网络转型，基本建成现代化综合交通运输体系，拥有发达的快速网、完善的干线网、广泛的基础网，城乡区域交通协调发展达到新高度，高水平实现基础设施互联互通。基本形成安池铜城市群15分钟通行、合肥都市圈1小时通达、长三角2小时覆盖的交通出行圈，全面建设铁路骨架，铁路网进一步完善，“一纵一横一联”高速公路网络全面建成，“三纵四横四联”高水平国省干线网络布局完善，全面支撑建设新阶段现代化“九华圣境、灵秀青阳”。</w:t>
      </w:r>
    </w:p>
    <w:bookmarkEnd w:id="9"/>
    <w:p>
      <w:pPr>
        <w:pStyle w:val="61"/>
        <w:spacing w:line="540" w:lineRule="exact"/>
        <w:ind w:firstLine="640"/>
        <w:rPr>
          <w:rFonts w:hint="eastAsia" w:ascii="楷体_GB2312" w:hAnsi="楷体_GB2312" w:eastAsia="楷体_GB2312" w:cs="楷体_GB2312"/>
          <w:b/>
          <w:bCs/>
        </w:rPr>
      </w:pPr>
      <w:r>
        <w:rPr>
          <w:rFonts w:hint="eastAsia" w:ascii="楷体_GB2312" w:hAnsi="楷体_GB2312" w:eastAsia="楷体_GB2312" w:cs="楷体_GB2312"/>
          <w:b/>
          <w:bCs/>
        </w:rPr>
        <w:t>（三）具体目标</w:t>
      </w:r>
    </w:p>
    <w:p>
      <w:pPr>
        <w:pStyle w:val="61"/>
        <w:spacing w:line="540" w:lineRule="exact"/>
        <w:ind w:firstLine="643"/>
        <w:rPr>
          <w:b/>
          <w:bCs/>
        </w:rPr>
      </w:pPr>
      <w:r>
        <w:rPr>
          <w:rFonts w:hint="eastAsia"/>
          <w:b/>
          <w:bCs/>
        </w:rPr>
        <w:t>——供给能力更加充分</w:t>
      </w:r>
    </w:p>
    <w:p>
      <w:pPr>
        <w:pStyle w:val="61"/>
        <w:spacing w:line="540" w:lineRule="exact"/>
        <w:ind w:firstLine="643"/>
      </w:pPr>
      <w:r>
        <w:rPr>
          <w:rFonts w:hint="eastAsia"/>
          <w:b/>
          <w:bCs/>
        </w:rPr>
        <w:t>公路：</w:t>
      </w:r>
      <w:r>
        <w:rPr>
          <w:rFonts w:hint="eastAsia"/>
        </w:rPr>
        <w:t>基本建成“一纵一横一联”高速公路网，总里程达到70公里，对外联通主骨架基本建成，实现市县高效互通；“三纵四横四联”高水平国省道网络进一步完善，基本实现县到市一级公路联通，一级公路总里程达到60.36公里；进一步提升农村公路通达深度和服务水平。</w:t>
      </w:r>
    </w:p>
    <w:p>
      <w:pPr>
        <w:snapToGrid w:val="0"/>
        <w:spacing w:beforeLines="50" w:line="360" w:lineRule="auto"/>
        <w:jc w:val="center"/>
        <w:rPr>
          <w:rFonts w:ascii="黑体" w:hAnsi="宋体" w:eastAsia="黑体"/>
          <w:bCs/>
        </w:rPr>
      </w:pPr>
      <w:r>
        <w:rPr>
          <w:rFonts w:hint="eastAsia" w:ascii="黑体" w:hAnsi="宋体" w:eastAsia="黑体"/>
          <w:bCs/>
        </w:rPr>
        <w:t>表2</w:t>
      </w:r>
      <w:r>
        <w:rPr>
          <w:rFonts w:ascii="黑体" w:hAnsi="宋体" w:eastAsia="黑体"/>
          <w:bCs/>
        </w:rPr>
        <w:t xml:space="preserve">  </w:t>
      </w:r>
      <w:r>
        <w:rPr>
          <w:rFonts w:hint="eastAsia" w:ascii="黑体" w:hAnsi="宋体" w:eastAsia="黑体"/>
          <w:bCs/>
        </w:rPr>
        <w:t>高水平公路网格局表</w:t>
      </w:r>
    </w:p>
    <w:tbl>
      <w:tblPr>
        <w:tblStyle w:val="24"/>
        <w:tblW w:w="82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79"/>
        <w:gridCol w:w="1403"/>
        <w:gridCol w:w="510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restart"/>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高速公路</w:t>
            </w:r>
          </w:p>
        </w:tc>
        <w:tc>
          <w:tcPr>
            <w:tcW w:w="1403" w:type="dxa"/>
          </w:tcPr>
          <w:p>
            <w:pPr>
              <w:spacing w:line="360" w:lineRule="exact"/>
              <w:jc w:val="center"/>
              <w:rPr>
                <w:rFonts w:ascii="仿宋_GB2312" w:hAnsi="仿宋" w:eastAsia="仿宋_GB2312"/>
              </w:rPr>
            </w:pPr>
            <w:r>
              <w:rPr>
                <w:rFonts w:hint="eastAsia" w:ascii="仿宋_GB2312" w:hAnsi="仿宋" w:eastAsia="仿宋_GB2312"/>
              </w:rPr>
              <w:t>一纵</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G3京台高速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continue"/>
            <w:shd w:val="clear" w:color="auto" w:fill="auto"/>
            <w:vAlign w:val="center"/>
          </w:tcPr>
          <w:p>
            <w:pPr>
              <w:spacing w:line="360" w:lineRule="exact"/>
              <w:jc w:val="center"/>
              <w:rPr>
                <w:rFonts w:ascii="仿宋_GB2312" w:hAnsi="仿宋" w:eastAsia="仿宋_GB2312"/>
              </w:rPr>
            </w:pPr>
          </w:p>
        </w:tc>
        <w:tc>
          <w:tcPr>
            <w:tcW w:w="1403" w:type="dxa"/>
          </w:tcPr>
          <w:p>
            <w:pPr>
              <w:spacing w:line="360" w:lineRule="exact"/>
              <w:jc w:val="center"/>
              <w:rPr>
                <w:rFonts w:ascii="仿宋_GB2312" w:hAnsi="仿宋" w:eastAsia="仿宋_GB2312"/>
              </w:rPr>
            </w:pPr>
            <w:r>
              <w:rPr>
                <w:rFonts w:hint="eastAsia" w:ascii="仿宋_GB2312" w:hAnsi="仿宋" w:eastAsia="仿宋_GB2312"/>
              </w:rPr>
              <w:t>一横</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S36宣东高速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continue"/>
            <w:shd w:val="clear" w:color="auto" w:fill="auto"/>
            <w:vAlign w:val="center"/>
          </w:tcPr>
          <w:p>
            <w:pPr>
              <w:spacing w:line="360" w:lineRule="exact"/>
              <w:jc w:val="center"/>
              <w:rPr>
                <w:rFonts w:ascii="仿宋_GB2312" w:hAnsi="仿宋" w:eastAsia="仿宋_GB2312"/>
              </w:rPr>
            </w:pPr>
          </w:p>
        </w:tc>
        <w:tc>
          <w:tcPr>
            <w:tcW w:w="1403" w:type="dxa"/>
          </w:tcPr>
          <w:p>
            <w:pPr>
              <w:spacing w:line="360" w:lineRule="exact"/>
              <w:jc w:val="center"/>
              <w:rPr>
                <w:rFonts w:ascii="仿宋_GB2312" w:hAnsi="仿宋" w:eastAsia="仿宋_GB2312"/>
              </w:rPr>
            </w:pPr>
            <w:r>
              <w:rPr>
                <w:rFonts w:hint="eastAsia" w:ascii="仿宋_GB2312" w:hAnsi="仿宋" w:eastAsia="仿宋_GB2312"/>
              </w:rPr>
              <w:t>一联</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S40宁枞高速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restart"/>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国省干线</w:t>
            </w:r>
          </w:p>
        </w:tc>
        <w:tc>
          <w:tcPr>
            <w:tcW w:w="1403" w:type="dxa"/>
          </w:tcPr>
          <w:p>
            <w:pPr>
              <w:spacing w:line="360" w:lineRule="exact"/>
              <w:jc w:val="center"/>
              <w:rPr>
                <w:rFonts w:ascii="仿宋_GB2312" w:hAnsi="仿宋" w:eastAsia="仿宋_GB2312"/>
              </w:rPr>
            </w:pPr>
            <w:r>
              <w:rPr>
                <w:rFonts w:hint="eastAsia" w:ascii="仿宋_GB2312" w:hAnsi="仿宋" w:eastAsia="仿宋_GB2312"/>
              </w:rPr>
              <w:t>三纵</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G330、S219、S228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continue"/>
            <w:shd w:val="clear" w:color="auto" w:fill="auto"/>
            <w:vAlign w:val="center"/>
          </w:tcPr>
          <w:p>
            <w:pPr>
              <w:spacing w:line="360" w:lineRule="exact"/>
              <w:jc w:val="center"/>
              <w:rPr>
                <w:rFonts w:ascii="仿宋_GB2312" w:hAnsi="仿宋" w:eastAsia="仿宋_GB2312"/>
              </w:rPr>
            </w:pPr>
          </w:p>
        </w:tc>
        <w:tc>
          <w:tcPr>
            <w:tcW w:w="1403" w:type="dxa"/>
          </w:tcPr>
          <w:p>
            <w:pPr>
              <w:spacing w:line="360" w:lineRule="exact"/>
              <w:jc w:val="center"/>
              <w:rPr>
                <w:rFonts w:ascii="仿宋_GB2312" w:hAnsi="仿宋" w:eastAsia="仿宋_GB2312"/>
              </w:rPr>
            </w:pPr>
            <w:r>
              <w:rPr>
                <w:rFonts w:hint="eastAsia" w:ascii="仿宋_GB2312" w:hAnsi="仿宋" w:eastAsia="仿宋_GB2312"/>
              </w:rPr>
              <w:t>四横</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G318、S221（S358）、S103、G530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79" w:type="dxa"/>
            <w:vMerge w:val="continue"/>
            <w:shd w:val="clear" w:color="auto" w:fill="auto"/>
            <w:vAlign w:val="center"/>
          </w:tcPr>
          <w:p>
            <w:pPr>
              <w:spacing w:line="360" w:lineRule="exact"/>
              <w:jc w:val="center"/>
              <w:rPr>
                <w:rFonts w:ascii="仿宋_GB2312" w:hAnsi="仿宋" w:eastAsia="仿宋_GB2312"/>
              </w:rPr>
            </w:pPr>
          </w:p>
        </w:tc>
        <w:tc>
          <w:tcPr>
            <w:tcW w:w="1403" w:type="dxa"/>
          </w:tcPr>
          <w:p>
            <w:pPr>
              <w:spacing w:line="360" w:lineRule="exact"/>
              <w:jc w:val="center"/>
              <w:rPr>
                <w:rFonts w:ascii="仿宋_GB2312" w:hAnsi="仿宋" w:eastAsia="仿宋_GB2312"/>
              </w:rPr>
            </w:pPr>
            <w:r>
              <w:rPr>
                <w:rFonts w:hint="eastAsia" w:ascii="仿宋_GB2312" w:hAnsi="仿宋" w:eastAsia="仿宋_GB2312"/>
              </w:rPr>
              <w:t>四联</w:t>
            </w:r>
          </w:p>
        </w:tc>
        <w:tc>
          <w:tcPr>
            <w:tcW w:w="5103" w:type="dxa"/>
            <w:shd w:val="clear" w:color="auto" w:fill="auto"/>
            <w:vAlign w:val="center"/>
          </w:tcPr>
          <w:p>
            <w:pPr>
              <w:spacing w:line="360" w:lineRule="exact"/>
              <w:jc w:val="center"/>
              <w:rPr>
                <w:rFonts w:ascii="仿宋_GB2312" w:hAnsi="仿宋" w:eastAsia="仿宋_GB2312"/>
              </w:rPr>
            </w:pPr>
            <w:r>
              <w:rPr>
                <w:rFonts w:hint="eastAsia" w:ascii="仿宋_GB2312" w:hAnsi="仿宋" w:eastAsia="仿宋_GB2312"/>
              </w:rPr>
              <w:t>S461、S463、S468、S225</w:t>
            </w:r>
          </w:p>
        </w:tc>
      </w:tr>
    </w:tbl>
    <w:p>
      <w:pPr>
        <w:pStyle w:val="61"/>
        <w:spacing w:line="540" w:lineRule="exact"/>
        <w:ind w:firstLine="643"/>
      </w:pPr>
      <w:r>
        <w:rPr>
          <w:rFonts w:hint="eastAsia"/>
          <w:b/>
          <w:bCs/>
        </w:rPr>
        <w:t>铁路：</w:t>
      </w:r>
      <w:r>
        <w:rPr>
          <w:rFonts w:hint="eastAsia"/>
        </w:rPr>
        <w:t>池黄高铁建成通车，形成“十字型”高速铁路网，青阳县实现与市区铁路进一步联通，完善铁路网布局，提升高铁通达能力，进一步缩短青阳与沿线城市时空距离，推动青阳深度接轨合肥都市圈、全面融入长三角经济圈。</w:t>
      </w:r>
    </w:p>
    <w:p>
      <w:pPr>
        <w:pStyle w:val="61"/>
        <w:spacing w:line="540" w:lineRule="exact"/>
        <w:ind w:firstLine="643"/>
      </w:pPr>
      <w:r>
        <w:rPr>
          <w:rFonts w:hint="eastAsia"/>
          <w:b/>
          <w:bCs/>
        </w:rPr>
        <w:t>水运</w:t>
      </w:r>
      <w:r>
        <w:rPr>
          <w:rFonts w:hint="eastAsia"/>
        </w:rPr>
        <w:t>：初步形成通江达海、干支联动的水运通道网络，实现长江支流航道等级化，等级航道里程达15.64公里。初步建成完善的港口物流和集散运输体系。货物设计通过能力达到0.5亿吨。</w:t>
      </w:r>
    </w:p>
    <w:p>
      <w:pPr>
        <w:pStyle w:val="61"/>
        <w:spacing w:line="540" w:lineRule="exact"/>
        <w:ind w:firstLine="643"/>
        <w:rPr>
          <w:b/>
          <w:bCs/>
        </w:rPr>
      </w:pPr>
      <w:r>
        <w:rPr>
          <w:rFonts w:hint="eastAsia"/>
          <w:b/>
          <w:bCs/>
        </w:rPr>
        <w:t>——优质便捷</w:t>
      </w:r>
    </w:p>
    <w:p>
      <w:pPr>
        <w:pStyle w:val="61"/>
        <w:spacing w:line="540" w:lineRule="exact"/>
        <w:ind w:firstLine="640"/>
      </w:pPr>
      <w:r>
        <w:rPr>
          <w:rFonts w:hint="eastAsia"/>
        </w:rPr>
        <w:t>优化综合客运站布局，进一步提升城乡客运均等化水平，城市公共交通、城际客运与个性化、定制化客运服务有效衔接；</w:t>
      </w:r>
      <w:r>
        <w:t>运输结构更趋合理，大宗物资中长距离运输铁路和水运承担量显著增长</w:t>
      </w:r>
      <w:r>
        <w:rPr>
          <w:rFonts w:hint="eastAsia"/>
        </w:rPr>
        <w:t>，现代化多式联运与城乡三级物流配送体系基本建立；旅游交通网络加快建设，全域化、网络化旅游基础设施体系逐步形成。</w:t>
      </w:r>
    </w:p>
    <w:p>
      <w:pPr>
        <w:pStyle w:val="61"/>
        <w:spacing w:line="540" w:lineRule="exact"/>
        <w:ind w:firstLine="643"/>
        <w:rPr>
          <w:b/>
          <w:bCs/>
        </w:rPr>
      </w:pPr>
      <w:r>
        <w:rPr>
          <w:rFonts w:hint="eastAsia"/>
          <w:b/>
          <w:bCs/>
        </w:rPr>
        <w:t>——绿色低碳</w:t>
      </w:r>
    </w:p>
    <w:p>
      <w:pPr>
        <w:pStyle w:val="61"/>
        <w:spacing w:line="540" w:lineRule="exact"/>
        <w:ind w:firstLine="640"/>
      </w:pPr>
      <w:r>
        <w:rPr>
          <w:rFonts w:hint="eastAsia"/>
        </w:rPr>
        <w:t>积极推进生态优先、绿色低碳、集约高效的绿色交通运输体系建设，使得交通</w:t>
      </w:r>
      <w:r>
        <w:t>能源消耗和污染排放状况大幅改善，资源集约节约利用水平明显提升，绿色运输服务政策标准体系更加健全</w:t>
      </w:r>
      <w:r>
        <w:rPr>
          <w:rFonts w:hint="eastAsia"/>
        </w:rPr>
        <w:t>，基础设施建设全面符合生态功能保障底线要求。</w:t>
      </w:r>
    </w:p>
    <w:p>
      <w:pPr>
        <w:pStyle w:val="61"/>
        <w:spacing w:line="540" w:lineRule="exact"/>
        <w:ind w:firstLine="643"/>
        <w:rPr>
          <w:b/>
          <w:bCs/>
        </w:rPr>
      </w:pPr>
      <w:r>
        <w:rPr>
          <w:rFonts w:hint="eastAsia"/>
          <w:b/>
          <w:bCs/>
        </w:rPr>
        <w:t>——安全可靠</w:t>
      </w:r>
    </w:p>
    <w:p>
      <w:pPr>
        <w:pStyle w:val="61"/>
        <w:spacing w:line="540" w:lineRule="exact"/>
        <w:ind w:firstLine="640"/>
      </w:pPr>
      <w:r>
        <w:t>运输安全体系与风险管控体系进一步完善，社会各方交通运输安全意识显著提高，主动安全水平明显提升</w:t>
      </w:r>
      <w:r>
        <w:rPr>
          <w:rFonts w:hint="eastAsia"/>
        </w:rPr>
        <w:t>，交通运输部门依法行政水平进一步提高，行业营商环境进一步优化，交通运输应急救援能力和保障水平明显提高，基本实现治理体系和治理能力现代化。</w:t>
      </w:r>
    </w:p>
    <w:p>
      <w:pPr>
        <w:snapToGrid w:val="0"/>
        <w:spacing w:line="360" w:lineRule="auto"/>
        <w:sectPr>
          <w:pgSz w:w="11907" w:h="16839"/>
          <w:pgMar w:top="1440" w:right="1800" w:bottom="1440" w:left="1800" w:header="851" w:footer="992" w:gutter="0"/>
          <w:cols w:space="425" w:num="1"/>
          <w:docGrid w:type="lines" w:linePitch="312" w:charSpace="0"/>
        </w:sectPr>
      </w:pPr>
      <w:r>
        <w:rPr>
          <w:rFonts w:hint="eastAsia"/>
        </w:rPr>
        <w:br w:type="page"/>
      </w:r>
    </w:p>
    <w:p>
      <w:pPr>
        <w:snapToGrid w:val="0"/>
        <w:spacing w:beforeLines="50" w:line="360" w:lineRule="auto"/>
        <w:jc w:val="center"/>
        <w:rPr>
          <w:rFonts w:ascii="黑体" w:hAnsi="宋体" w:eastAsia="黑体"/>
          <w:bCs/>
        </w:rPr>
      </w:pPr>
      <w:r>
        <w:rPr>
          <w:rFonts w:hint="eastAsia" w:ascii="黑体" w:hAnsi="宋体" w:eastAsia="黑体"/>
          <w:bCs/>
        </w:rPr>
        <w:t>表3 “十四五”青阳县交通运输发展主要指标表</w:t>
      </w:r>
    </w:p>
    <w:tbl>
      <w:tblPr>
        <w:tblStyle w:val="24"/>
        <w:tblpPr w:leftFromText="180" w:rightFromText="180" w:vertAnchor="text" w:horzAnchor="page" w:tblpX="1818" w:tblpY="238"/>
        <w:tblOverlap w:val="never"/>
        <w:tblW w:w="832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5"/>
        <w:gridCol w:w="4393"/>
        <w:gridCol w:w="1134"/>
        <w:gridCol w:w="1227"/>
        <w:gridCol w:w="8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6" w:hRule="atLeast"/>
          <w:tblHeader/>
        </w:trPr>
        <w:tc>
          <w:tcPr>
            <w:tcW w:w="695"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类别</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指标（单位）</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2020年</w:t>
            </w:r>
          </w:p>
        </w:tc>
        <w:tc>
          <w:tcPr>
            <w:tcW w:w="1227" w:type="dxa"/>
            <w:vAlign w:val="center"/>
          </w:tcPr>
          <w:p>
            <w:pPr>
              <w:jc w:val="center"/>
              <w:rPr>
                <w:rFonts w:ascii="仿宋" w:hAnsi="仿宋" w:eastAsia="仿宋" w:cs="宋体"/>
                <w:sz w:val="21"/>
                <w:szCs w:val="21"/>
              </w:rPr>
            </w:pPr>
            <w:r>
              <w:rPr>
                <w:rFonts w:ascii="仿宋" w:hAnsi="仿宋" w:eastAsia="仿宋" w:cs="宋体"/>
                <w:sz w:val="21"/>
                <w:szCs w:val="21"/>
              </w:rPr>
              <w:t>2025年</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restart"/>
            <w:vAlign w:val="center"/>
          </w:tcPr>
          <w:p>
            <w:pPr>
              <w:jc w:val="center"/>
              <w:rPr>
                <w:rFonts w:ascii="仿宋" w:hAnsi="仿宋" w:eastAsia="仿宋" w:cs="宋体"/>
                <w:sz w:val="21"/>
                <w:szCs w:val="21"/>
              </w:rPr>
            </w:pPr>
            <w:r>
              <w:rPr>
                <w:rFonts w:hint="eastAsia" w:ascii="仿宋" w:hAnsi="仿宋" w:eastAsia="仿宋" w:cs="宋体"/>
                <w:sz w:val="21"/>
                <w:szCs w:val="21"/>
              </w:rPr>
              <w:t>能力充分</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公路网总里程</w:t>
            </w:r>
            <w:r>
              <w:rPr>
                <w:rFonts w:ascii="仿宋" w:hAnsi="仿宋" w:eastAsia="仿宋" w:cs="宋体"/>
                <w:sz w:val="21"/>
                <w:szCs w:val="21"/>
              </w:rPr>
              <w:t>(公里)</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1588.331</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2037.259</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高速公路总里程（公里）</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51.4</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70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一级公路总里程（公里）</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33.36</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60.36</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约束型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普通国省道二级及以上公路占比（</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66.49</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75.8</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乡镇通三级及以上公路比例（%）</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100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建制村通双车道公路比例</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90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9</w:t>
            </w:r>
            <w:r>
              <w:rPr>
                <w:rFonts w:hint="eastAsia" w:ascii="仿宋" w:hAnsi="仿宋" w:eastAsia="仿宋" w:cs="宋体"/>
                <w:sz w:val="21"/>
                <w:szCs w:val="21"/>
              </w:rPr>
              <w:t>5</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铁路（高铁）总里程（公里）</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5.8</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30.6</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四级及以上高等级航道里程（公里）</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15.64</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15.64</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港口设计通过能力（亿吨）</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0.1</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0.5</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restart"/>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方便快捷</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县</w:t>
            </w:r>
            <w:r>
              <w:rPr>
                <w:rFonts w:ascii="仿宋" w:hAnsi="仿宋" w:eastAsia="仿宋" w:cs="宋体"/>
                <w:sz w:val="21"/>
                <w:szCs w:val="21"/>
              </w:rPr>
              <w:t>建成区公共交通站点500米覆盖率（%）</w:t>
            </w:r>
          </w:p>
        </w:tc>
        <w:tc>
          <w:tcPr>
            <w:tcW w:w="1134" w:type="dxa"/>
            <w:vAlign w:val="center"/>
          </w:tcPr>
          <w:p>
            <w:pPr>
              <w:tabs>
                <w:tab w:val="left" w:pos="414"/>
              </w:tabs>
              <w:ind w:firstLine="210" w:firstLineChars="100"/>
              <w:jc w:val="center"/>
              <w:rPr>
                <w:rFonts w:ascii="仿宋" w:hAnsi="仿宋" w:eastAsia="仿宋" w:cs="宋体"/>
                <w:sz w:val="21"/>
                <w:szCs w:val="21"/>
              </w:rPr>
            </w:pPr>
            <w:r>
              <w:rPr>
                <w:rFonts w:hint="eastAsia" w:ascii="仿宋" w:hAnsi="仿宋" w:eastAsia="仿宋" w:cs="宋体"/>
                <w:sz w:val="21"/>
                <w:szCs w:val="21"/>
              </w:rPr>
              <w:t>≥80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w:t>
            </w:r>
            <w:r>
              <w:rPr>
                <w:rFonts w:ascii="仿宋" w:hAnsi="仿宋" w:eastAsia="仿宋" w:cs="宋体"/>
                <w:sz w:val="21"/>
                <w:szCs w:val="21"/>
              </w:rPr>
              <w:t>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约束型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shd w:val="clear" w:color="auto" w:fill="auto"/>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新（改）建综合客运枢纽换乘距离、时间（米、分钟）</w:t>
            </w:r>
          </w:p>
        </w:tc>
        <w:tc>
          <w:tcPr>
            <w:tcW w:w="1134" w:type="dxa"/>
            <w:vAlign w:val="center"/>
          </w:tcPr>
          <w:p>
            <w:pPr>
              <w:tabs>
                <w:tab w:val="left" w:pos="414"/>
              </w:tabs>
              <w:ind w:firstLine="210" w:firstLineChars="100"/>
              <w:jc w:val="center"/>
              <w:rPr>
                <w:rFonts w:ascii="仿宋" w:hAnsi="仿宋" w:eastAsia="仿宋" w:cs="宋体"/>
                <w:sz w:val="21"/>
                <w:szCs w:val="21"/>
              </w:rPr>
            </w:pPr>
            <w:r>
              <w:rPr>
                <w:rFonts w:hint="eastAsia" w:ascii="仿宋" w:hAnsi="仿宋" w:eastAsia="仿宋" w:cs="宋体"/>
                <w:sz w:val="21"/>
                <w:szCs w:val="21"/>
              </w:rPr>
              <w:t>300、5</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3</w:t>
            </w:r>
            <w:r>
              <w:rPr>
                <w:rFonts w:ascii="仿宋" w:hAnsi="仿宋" w:eastAsia="仿宋" w:cs="宋体"/>
                <w:sz w:val="21"/>
                <w:szCs w:val="21"/>
              </w:rPr>
              <w:t>00</w:t>
            </w:r>
            <w:r>
              <w:rPr>
                <w:rFonts w:hint="eastAsia" w:ascii="仿宋" w:hAnsi="仿宋" w:eastAsia="仿宋" w:cs="宋体"/>
                <w:sz w:val="21"/>
                <w:szCs w:val="21"/>
              </w:rPr>
              <w:t>、5</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具备条件的建制村快递进村覆盖率（%）</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70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w:t>
            </w:r>
            <w:r>
              <w:rPr>
                <w:rFonts w:ascii="仿宋" w:hAnsi="仿宋" w:eastAsia="仿宋" w:cs="宋体"/>
                <w:sz w:val="21"/>
                <w:szCs w:val="21"/>
              </w:rPr>
              <w:t>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乡镇运输服务站乡镇覆盖率（</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36</w:t>
            </w:r>
          </w:p>
        </w:tc>
        <w:tc>
          <w:tcPr>
            <w:tcW w:w="1227" w:type="dxa"/>
            <w:vAlign w:val="center"/>
          </w:tcPr>
          <w:p>
            <w:pPr>
              <w:jc w:val="center"/>
              <w:rPr>
                <w:rFonts w:ascii="仿宋" w:hAnsi="仿宋" w:eastAsia="仿宋" w:cs="宋体"/>
                <w:sz w:val="21"/>
                <w:szCs w:val="21"/>
              </w:rPr>
            </w:pPr>
            <w:r>
              <w:rPr>
                <w:rFonts w:ascii="仿宋" w:hAnsi="仿宋" w:eastAsia="仿宋" w:cs="宋体"/>
                <w:sz w:val="21"/>
                <w:szCs w:val="21"/>
              </w:rPr>
              <w:t>100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restart"/>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绿色低碳</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新增县城公交新能源比例（</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60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90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约束型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新增县城物流配送车辆新能源比例（</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60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80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废旧路面材料循环利用率（</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≥70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90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港口岸电覆盖率、船舶受电设施改造率（</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27</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restart"/>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数字智能</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营运客车</w:t>
            </w:r>
            <w:r>
              <w:rPr>
                <w:rFonts w:ascii="仿宋" w:hAnsi="仿宋" w:eastAsia="仿宋" w:cs="宋体"/>
                <w:sz w:val="21"/>
                <w:szCs w:val="21"/>
              </w:rPr>
              <w:t>ETC使用率（%）</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≥80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w:t>
            </w:r>
            <w:r>
              <w:rPr>
                <w:rFonts w:ascii="仿宋" w:hAnsi="仿宋" w:eastAsia="仿宋" w:cs="宋体"/>
                <w:sz w:val="21"/>
                <w:szCs w:val="21"/>
              </w:rPr>
              <w:t>95</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二级及以上道路客运站电子客票覆盖率（%）</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100</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w:t>
            </w:r>
            <w:r>
              <w:rPr>
                <w:rFonts w:ascii="仿宋" w:hAnsi="仿宋" w:eastAsia="仿宋" w:cs="宋体"/>
                <w:sz w:val="21"/>
                <w:szCs w:val="21"/>
              </w:rPr>
              <w:t>00</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预期型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restart"/>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安全可靠</w:t>
            </w: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超限超载率（</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hint="eastAsia" w:ascii="仿宋" w:hAnsi="仿宋" w:eastAsia="仿宋" w:cs="宋体"/>
                <w:sz w:val="21"/>
                <w:szCs w:val="21"/>
              </w:rPr>
              <w:t>≤5</w:t>
            </w:r>
          </w:p>
        </w:tc>
        <w:tc>
          <w:tcPr>
            <w:tcW w:w="1227" w:type="dxa"/>
            <w:vAlign w:val="center"/>
          </w:tcPr>
          <w:p>
            <w:pPr>
              <w:jc w:val="center"/>
              <w:rPr>
                <w:rFonts w:ascii="仿宋" w:hAnsi="仿宋" w:eastAsia="仿宋" w:cs="宋体"/>
                <w:sz w:val="21"/>
                <w:szCs w:val="21"/>
              </w:rPr>
            </w:pPr>
            <w:r>
              <w:rPr>
                <w:rFonts w:hint="eastAsia" w:ascii="仿宋" w:hAnsi="仿宋" w:eastAsia="仿宋" w:cs="宋体"/>
                <w:sz w:val="21"/>
                <w:szCs w:val="21"/>
              </w:rPr>
              <w:t>≤1</w:t>
            </w:r>
          </w:p>
        </w:tc>
        <w:tc>
          <w:tcPr>
            <w:tcW w:w="875" w:type="dxa"/>
            <w:vAlign w:val="center"/>
          </w:tcPr>
          <w:p>
            <w:pPr>
              <w:jc w:val="center"/>
              <w:rPr>
                <w:rFonts w:ascii="仿宋" w:hAnsi="仿宋" w:eastAsia="仿宋" w:cs="宋体"/>
                <w:sz w:val="21"/>
                <w:szCs w:val="21"/>
              </w:rPr>
            </w:pPr>
            <w:r>
              <w:rPr>
                <w:rFonts w:hint="eastAsia" w:ascii="仿宋" w:hAnsi="仿宋" w:eastAsia="仿宋" w:cs="宋体"/>
                <w:sz w:val="21"/>
                <w:szCs w:val="21"/>
              </w:rPr>
              <w:t>约束型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95" w:type="dxa"/>
            <w:vMerge w:val="continue"/>
            <w:shd w:val="clear" w:color="auto" w:fill="auto"/>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国省干线公路新发现四、五类桥梁（隧道）处置率（</w:t>
            </w:r>
            <w:r>
              <w:rPr>
                <w:rFonts w:ascii="仿宋" w:hAnsi="仿宋" w:eastAsia="仿宋" w:cs="宋体"/>
                <w:sz w:val="21"/>
                <w:szCs w:val="21"/>
              </w:rPr>
              <w:t>%）</w:t>
            </w:r>
          </w:p>
        </w:tc>
        <w:tc>
          <w:tcPr>
            <w:tcW w:w="1134" w:type="dxa"/>
            <w:vAlign w:val="center"/>
          </w:tcPr>
          <w:p>
            <w:pPr>
              <w:jc w:val="center"/>
              <w:rPr>
                <w:rFonts w:ascii="仿宋" w:hAnsi="仿宋" w:eastAsia="仿宋" w:cs="宋体"/>
                <w:sz w:val="21"/>
                <w:szCs w:val="21"/>
              </w:rPr>
            </w:pPr>
            <w:r>
              <w:rPr>
                <w:rFonts w:ascii="仿宋" w:hAnsi="仿宋" w:eastAsia="仿宋" w:cs="宋体"/>
                <w:sz w:val="21"/>
                <w:szCs w:val="21"/>
              </w:rPr>
              <w:t>/</w:t>
            </w:r>
          </w:p>
        </w:tc>
        <w:tc>
          <w:tcPr>
            <w:tcW w:w="1227" w:type="dxa"/>
            <w:vAlign w:val="center"/>
          </w:tcPr>
          <w:p>
            <w:pPr>
              <w:jc w:val="center"/>
              <w:rPr>
                <w:rFonts w:ascii="仿宋" w:hAnsi="仿宋" w:eastAsia="仿宋" w:cs="宋体"/>
                <w:sz w:val="21"/>
                <w:szCs w:val="21"/>
              </w:rPr>
            </w:pPr>
            <w:r>
              <w:rPr>
                <w:rFonts w:ascii="仿宋" w:hAnsi="仿宋" w:eastAsia="仿宋" w:cs="宋体"/>
                <w:sz w:val="21"/>
                <w:szCs w:val="21"/>
              </w:rPr>
              <w:t>100</w:t>
            </w:r>
          </w:p>
        </w:tc>
        <w:tc>
          <w:tcPr>
            <w:tcW w:w="875" w:type="dxa"/>
            <w:vAlign w:val="center"/>
          </w:tcPr>
          <w:p>
            <w:pPr>
              <w:jc w:val="center"/>
              <w:rPr>
                <w:rFonts w:ascii="仿宋" w:hAnsi="仿宋" w:eastAsia="仿宋" w:cs="宋体"/>
                <w:sz w:val="21"/>
                <w:szCs w:val="21"/>
              </w:rPr>
            </w:pPr>
            <w:r>
              <w:rPr>
                <w:rFonts w:ascii="仿宋" w:hAnsi="仿宋" w:eastAsia="仿宋" w:cs="宋体"/>
                <w:sz w:val="21"/>
                <w:szCs w:val="21"/>
              </w:rPr>
              <w:t>约束型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95" w:type="dxa"/>
            <w:vMerge w:val="continue"/>
            <w:vAlign w:val="center"/>
          </w:tcPr>
          <w:p>
            <w:pPr>
              <w:jc w:val="center"/>
              <w:rPr>
                <w:rFonts w:ascii="仿宋" w:hAnsi="仿宋" w:eastAsia="仿宋" w:cs="宋体"/>
                <w:sz w:val="21"/>
                <w:szCs w:val="21"/>
              </w:rPr>
            </w:pPr>
          </w:p>
        </w:tc>
        <w:tc>
          <w:tcPr>
            <w:tcW w:w="4393" w:type="dxa"/>
            <w:shd w:val="clear" w:color="auto" w:fill="auto"/>
            <w:vAlign w:val="center"/>
          </w:tcPr>
          <w:p>
            <w:pPr>
              <w:jc w:val="center"/>
              <w:rPr>
                <w:rFonts w:ascii="仿宋" w:hAnsi="仿宋" w:eastAsia="仿宋" w:cs="宋体"/>
                <w:sz w:val="21"/>
                <w:szCs w:val="21"/>
              </w:rPr>
            </w:pPr>
            <w:r>
              <w:rPr>
                <w:rFonts w:hint="eastAsia" w:ascii="仿宋" w:hAnsi="仿宋" w:eastAsia="仿宋" w:cs="宋体"/>
                <w:sz w:val="21"/>
                <w:szCs w:val="21"/>
              </w:rPr>
              <w:t>一般公路交通事件应急抢通时间（小时）</w:t>
            </w:r>
          </w:p>
        </w:tc>
        <w:tc>
          <w:tcPr>
            <w:tcW w:w="1134" w:type="dxa"/>
            <w:vAlign w:val="center"/>
          </w:tcPr>
          <w:p>
            <w:pPr>
              <w:jc w:val="center"/>
              <w:rPr>
                <w:rFonts w:ascii="仿宋" w:hAnsi="仿宋" w:eastAsia="仿宋" w:cs="宋体"/>
                <w:sz w:val="21"/>
                <w:szCs w:val="21"/>
              </w:rPr>
            </w:pPr>
            <w:r>
              <w:rPr>
                <w:rFonts w:ascii="仿宋" w:hAnsi="仿宋" w:eastAsia="仿宋" w:cs="宋体"/>
                <w:sz w:val="21"/>
                <w:szCs w:val="21"/>
              </w:rPr>
              <w:t>≤24</w:t>
            </w:r>
          </w:p>
        </w:tc>
        <w:tc>
          <w:tcPr>
            <w:tcW w:w="1227" w:type="dxa"/>
            <w:vAlign w:val="center"/>
          </w:tcPr>
          <w:p>
            <w:pPr>
              <w:jc w:val="center"/>
              <w:rPr>
                <w:rFonts w:ascii="仿宋" w:hAnsi="仿宋" w:eastAsia="仿宋" w:cs="宋体"/>
                <w:sz w:val="21"/>
                <w:szCs w:val="21"/>
              </w:rPr>
            </w:pPr>
            <w:r>
              <w:rPr>
                <w:rFonts w:ascii="仿宋" w:hAnsi="仿宋" w:eastAsia="仿宋" w:cs="宋体"/>
                <w:sz w:val="21"/>
                <w:szCs w:val="21"/>
              </w:rPr>
              <w:t>≤24</w:t>
            </w:r>
          </w:p>
        </w:tc>
        <w:tc>
          <w:tcPr>
            <w:tcW w:w="875" w:type="dxa"/>
            <w:vAlign w:val="center"/>
          </w:tcPr>
          <w:p>
            <w:pPr>
              <w:jc w:val="center"/>
              <w:rPr>
                <w:rFonts w:ascii="仿宋" w:hAnsi="仿宋" w:eastAsia="仿宋" w:cs="宋体"/>
                <w:sz w:val="21"/>
                <w:szCs w:val="21"/>
              </w:rPr>
            </w:pPr>
            <w:r>
              <w:rPr>
                <w:rFonts w:ascii="仿宋" w:hAnsi="仿宋" w:eastAsia="仿宋" w:cs="宋体"/>
                <w:sz w:val="21"/>
                <w:szCs w:val="21"/>
              </w:rPr>
              <w:t>约束型</w:t>
            </w:r>
          </w:p>
        </w:tc>
      </w:tr>
    </w:tbl>
    <w:p>
      <w:pPr>
        <w:snapToGrid w:val="0"/>
        <w:spacing w:line="360" w:lineRule="auto"/>
        <w:rPr>
          <w:rFonts w:ascii="黑体" w:hAnsi="宋体" w:eastAsia="黑体"/>
          <w:bCs/>
        </w:rPr>
      </w:pPr>
    </w:p>
    <w:p>
      <w:pPr>
        <w:snapToGrid w:val="0"/>
        <w:spacing w:line="360" w:lineRule="auto"/>
        <w:sectPr>
          <w:pgSz w:w="11907" w:h="16839"/>
          <w:pgMar w:top="1440" w:right="1800" w:bottom="1440" w:left="1800" w:header="851" w:footer="992" w:gutter="0"/>
          <w:cols w:space="425" w:num="1"/>
          <w:docGrid w:type="lines" w:linePitch="312" w:charSpace="0"/>
        </w:sectPr>
      </w:pPr>
      <w:r>
        <w:rPr>
          <w:rFonts w:hint="eastAsia"/>
        </w:rPr>
        <w:br w:type="page"/>
      </w:r>
    </w:p>
    <w:p>
      <w:pPr>
        <w:pStyle w:val="61"/>
        <w:spacing w:line="540" w:lineRule="exact"/>
        <w:ind w:firstLine="640"/>
        <w:rPr>
          <w:szCs w:val="32"/>
        </w:rPr>
      </w:pPr>
    </w:p>
    <w:p>
      <w:pPr>
        <w:pStyle w:val="55"/>
        <w:spacing w:after="156" w:line="540" w:lineRule="exact"/>
        <w:rPr>
          <w:sz w:val="32"/>
          <w:szCs w:val="32"/>
        </w:rPr>
      </w:pPr>
      <w:bookmarkStart w:id="10" w:name="_Toc104537490"/>
      <w:r>
        <w:rPr>
          <w:rFonts w:hint="eastAsia"/>
          <w:sz w:val="32"/>
          <w:szCs w:val="32"/>
        </w:rPr>
        <w:t>第四章 发展重点</w:t>
      </w:r>
      <w:bookmarkEnd w:id="10"/>
    </w:p>
    <w:p>
      <w:pPr>
        <w:pStyle w:val="61"/>
        <w:spacing w:line="540" w:lineRule="exact"/>
        <w:ind w:firstLine="640"/>
        <w:rPr>
          <w:rFonts w:cs="黑体"/>
        </w:rPr>
      </w:pPr>
    </w:p>
    <w:p>
      <w:pPr>
        <w:pStyle w:val="57"/>
        <w:ind w:firstLine="640"/>
      </w:pPr>
      <w:bookmarkStart w:id="11" w:name="_Toc104537491"/>
      <w:r>
        <w:rPr>
          <w:rFonts w:hint="eastAsia"/>
        </w:rPr>
        <w:t>一、发展格局突破创新</w:t>
      </w:r>
      <w:bookmarkEnd w:id="11"/>
    </w:p>
    <w:p>
      <w:pPr>
        <w:pStyle w:val="61"/>
        <w:spacing w:line="540" w:lineRule="exact"/>
        <w:ind w:firstLine="640"/>
      </w:pPr>
      <w:r>
        <w:rPr>
          <w:rFonts w:hint="eastAsia"/>
        </w:rPr>
        <w:t>根据区域主要客货运输流量流向，统筹各种交通方式基础设施规划建设，完善多层次网络布局，加快构建“发达高效的快速网”、“完善顺畅的干线网”、“广泛便捷的基础网”，扩大优质增量供给，实现立体互联，增强系统弹性，持续推进区域交通一体联动，加快融入长三角。</w:t>
      </w:r>
    </w:p>
    <w:p>
      <w:pPr>
        <w:pStyle w:val="61"/>
        <w:spacing w:line="540" w:lineRule="exact"/>
        <w:ind w:firstLine="640"/>
        <w:rPr>
          <w:rFonts w:hint="eastAsia" w:ascii="楷体_GB2312" w:hAnsi="楷体_GB2312" w:eastAsia="楷体_GB2312" w:cs="楷体_GB2312"/>
          <w:b/>
          <w:bCs/>
        </w:rPr>
      </w:pPr>
      <w:bookmarkStart w:id="12" w:name="_Toc81675178"/>
      <w:bookmarkStart w:id="13" w:name="_Toc97394569"/>
      <w:bookmarkStart w:id="14" w:name="_Toc104537492"/>
      <w:r>
        <w:rPr>
          <w:rFonts w:hint="eastAsia" w:ascii="楷体_GB2312" w:hAnsi="楷体_GB2312" w:eastAsia="楷体_GB2312" w:cs="楷体_GB2312"/>
          <w:b/>
          <w:bCs/>
        </w:rPr>
        <w:t>（一）构建</w:t>
      </w:r>
      <w:bookmarkEnd w:id="12"/>
      <w:bookmarkEnd w:id="13"/>
      <w:r>
        <w:rPr>
          <w:rFonts w:hint="eastAsia" w:ascii="楷体_GB2312" w:hAnsi="楷体_GB2312" w:eastAsia="楷体_GB2312" w:cs="楷体_GB2312"/>
          <w:b/>
          <w:bCs/>
        </w:rPr>
        <w:t>发达高效的快速网</w:t>
      </w:r>
      <w:bookmarkEnd w:id="14"/>
    </w:p>
    <w:p>
      <w:pPr>
        <w:pStyle w:val="61"/>
        <w:spacing w:line="540" w:lineRule="exact"/>
        <w:ind w:firstLine="640"/>
      </w:pPr>
      <w:r>
        <w:rPr>
          <w:rFonts w:hint="eastAsia"/>
        </w:rPr>
        <w:t>以</w:t>
      </w:r>
      <w:r>
        <w:rPr>
          <w:rFonts w:hint="eastAsia"/>
          <w:b/>
        </w:rPr>
        <w:t>高速铁路、高速公路、民用航空</w:t>
      </w:r>
      <w:r>
        <w:rPr>
          <w:rFonts w:hint="eastAsia"/>
        </w:rPr>
        <w:t>为重点，打造多向立体、快速联通的高品质快速网，不断提升青阳区位优势和综合枢纽作用，实现与长三角城市群其他城市的快联快通。</w:t>
      </w:r>
    </w:p>
    <w:p>
      <w:pPr>
        <w:pStyle w:val="63"/>
        <w:spacing w:line="540" w:lineRule="exact"/>
        <w:ind w:firstLine="643"/>
        <w:outlineLvl w:val="3"/>
        <w:rPr>
          <w:bCs/>
        </w:rPr>
      </w:pPr>
      <w:r>
        <w:rPr>
          <w:rFonts w:hint="eastAsia"/>
        </w:rPr>
        <w:t>1、共建轨道上</w:t>
      </w:r>
      <w:r>
        <w:t>的</w:t>
      </w:r>
      <w:r>
        <w:rPr>
          <w:rFonts w:hint="eastAsia"/>
        </w:rPr>
        <w:t>青阳</w:t>
      </w:r>
    </w:p>
    <w:p>
      <w:pPr>
        <w:pStyle w:val="61"/>
        <w:spacing w:line="540" w:lineRule="exact"/>
        <w:ind w:firstLine="643"/>
        <w:rPr>
          <w:rFonts w:eastAsia="仿宋_GB2312"/>
          <w:szCs w:val="32"/>
        </w:rPr>
      </w:pPr>
      <w:r>
        <w:rPr>
          <w:rFonts w:hint="eastAsia"/>
          <w:b/>
        </w:rPr>
        <w:t>锚定2</w:t>
      </w:r>
      <w:r>
        <w:rPr>
          <w:b/>
        </w:rPr>
        <w:t>035</w:t>
      </w:r>
      <w:r>
        <w:rPr>
          <w:rFonts w:hint="eastAsia"/>
          <w:b/>
        </w:rPr>
        <w:t>年</w:t>
      </w:r>
      <w:r>
        <w:rPr>
          <w:rFonts w:hint="eastAsia"/>
        </w:rPr>
        <w:t>，多层次的轨道交通网基本建成，</w:t>
      </w:r>
      <w:r>
        <w:rPr>
          <w:rFonts w:hint="eastAsia"/>
          <w:bCs/>
          <w:color w:val="000000" w:themeColor="text1"/>
        </w:rPr>
        <w:t>构建高速铁路（含城际铁路）网络雏形</w:t>
      </w:r>
      <w:r>
        <w:rPr>
          <w:rFonts w:hint="eastAsia"/>
          <w:color w:val="000000" w:themeColor="text1"/>
        </w:rPr>
        <w:t>。</w:t>
      </w:r>
      <w:r>
        <w:rPr>
          <w:rFonts w:hint="eastAsia"/>
          <w:bCs/>
          <w:color w:val="000000" w:themeColor="text1"/>
        </w:rPr>
        <w:t>青阳境内3条高速铁路（含城际铁路）共同构成了对外轨道交通骨架</w:t>
      </w:r>
      <w:r>
        <w:rPr>
          <w:rFonts w:hint="eastAsia" w:eastAsia="仿宋_GB2312"/>
          <w:szCs w:val="32"/>
        </w:rPr>
        <w:t>。</w:t>
      </w:r>
    </w:p>
    <w:p>
      <w:pPr>
        <w:snapToGrid w:val="0"/>
        <w:spacing w:beforeLines="50" w:line="360" w:lineRule="auto"/>
        <w:jc w:val="center"/>
        <w:rPr>
          <w:rFonts w:ascii="黑体" w:hAnsi="宋体" w:eastAsia="黑体"/>
          <w:bCs/>
        </w:rPr>
      </w:pPr>
      <w:r>
        <w:rPr>
          <w:rFonts w:hint="eastAsia" w:ascii="黑体" w:hAnsi="宋体" w:eastAsia="黑体"/>
          <w:bCs/>
        </w:rPr>
        <w:t>表4 对外轨道交通网布局一览表</w:t>
      </w:r>
    </w:p>
    <w:tbl>
      <w:tblPr>
        <w:tblStyle w:val="24"/>
        <w:tblW w:w="866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402"/>
        <w:gridCol w:w="2409"/>
        <w:gridCol w:w="185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编号</w:t>
            </w:r>
          </w:p>
        </w:tc>
        <w:tc>
          <w:tcPr>
            <w:tcW w:w="3402"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名称</w:t>
            </w:r>
          </w:p>
        </w:tc>
        <w:tc>
          <w:tcPr>
            <w:tcW w:w="2409"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路线走向</w:t>
            </w:r>
          </w:p>
        </w:tc>
        <w:tc>
          <w:tcPr>
            <w:tcW w:w="1856"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建设情况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w:t>
            </w:r>
          </w:p>
        </w:tc>
        <w:tc>
          <w:tcPr>
            <w:tcW w:w="340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池黄高铁</w:t>
            </w:r>
          </w:p>
        </w:tc>
        <w:tc>
          <w:tcPr>
            <w:tcW w:w="240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青阳县、贵池区、九华山风景区</w:t>
            </w:r>
          </w:p>
        </w:tc>
        <w:tc>
          <w:tcPr>
            <w:tcW w:w="185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“十四五”期建成通车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w:t>
            </w:r>
          </w:p>
        </w:tc>
        <w:tc>
          <w:tcPr>
            <w:tcW w:w="340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合池城际</w:t>
            </w:r>
          </w:p>
        </w:tc>
        <w:tc>
          <w:tcPr>
            <w:tcW w:w="240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青阳县、贵池区</w:t>
            </w:r>
          </w:p>
        </w:tc>
        <w:tc>
          <w:tcPr>
            <w:tcW w:w="185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“十四五”期开工建设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3</w:t>
            </w:r>
          </w:p>
        </w:tc>
        <w:tc>
          <w:tcPr>
            <w:tcW w:w="340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宣城-青阳城际</w:t>
            </w:r>
          </w:p>
        </w:tc>
        <w:tc>
          <w:tcPr>
            <w:tcW w:w="240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青阳县、泾县</w:t>
            </w:r>
          </w:p>
        </w:tc>
        <w:tc>
          <w:tcPr>
            <w:tcW w:w="185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远期谋划</w:t>
            </w:r>
          </w:p>
        </w:tc>
      </w:tr>
    </w:tbl>
    <w:p>
      <w:pPr>
        <w:pStyle w:val="61"/>
        <w:spacing w:line="540" w:lineRule="exact"/>
        <w:ind w:firstLine="643"/>
        <w:rPr>
          <w:rFonts w:eastAsia="仿宋_GB2312"/>
          <w:szCs w:val="32"/>
        </w:rPr>
      </w:pPr>
      <w:r>
        <w:rPr>
          <w:rFonts w:hint="eastAsia"/>
          <w:b/>
        </w:rPr>
        <w:t>“十四五”时期</w:t>
      </w:r>
      <w:r>
        <w:rPr>
          <w:rFonts w:hint="eastAsia"/>
        </w:rPr>
        <w:t>，</w:t>
      </w:r>
      <w:r>
        <w:t>加快构建</w:t>
      </w:r>
      <w:r>
        <w:rPr>
          <w:rFonts w:hint="eastAsia"/>
        </w:rPr>
        <w:t>高速</w:t>
      </w:r>
      <w:r>
        <w:t>铁路网，</w:t>
      </w:r>
      <w:r>
        <w:rPr>
          <w:rFonts w:hint="eastAsia"/>
        </w:rPr>
        <w:t>重点</w:t>
      </w:r>
      <w:r>
        <w:t>建成</w:t>
      </w:r>
      <w:r>
        <w:rPr>
          <w:rFonts w:hint="eastAsia"/>
        </w:rPr>
        <w:t>池黄高铁，开工建设合池城际铁路项目，构建青阳对外联络主骨架。</w:t>
      </w:r>
      <w:r>
        <w:rPr>
          <w:rFonts w:eastAsia="仿宋_GB2312"/>
          <w:szCs w:val="32"/>
        </w:rPr>
        <w:t>完善港区集疏运网络</w:t>
      </w:r>
      <w:r>
        <w:rPr>
          <w:rFonts w:hint="eastAsia" w:eastAsia="仿宋_GB2312"/>
          <w:szCs w:val="32"/>
        </w:rPr>
        <w:t>建设</w:t>
      </w:r>
      <w:r>
        <w:rPr>
          <w:rFonts w:eastAsia="仿宋_GB2312"/>
          <w:szCs w:val="32"/>
        </w:rPr>
        <w:t>，</w:t>
      </w:r>
      <w:r>
        <w:rPr>
          <w:rFonts w:hint="eastAsia" w:eastAsia="仿宋_GB2312"/>
          <w:szCs w:val="32"/>
        </w:rPr>
        <w:t>提升铁路货运的综合竞争优势，为多式联运提供设施保障</w:t>
      </w:r>
      <w:r>
        <w:rPr>
          <w:rFonts w:hint="eastAsia"/>
        </w:rPr>
        <w:t>，力争开工</w:t>
      </w:r>
      <w:r>
        <w:rPr>
          <w:rFonts w:hint="eastAsia" w:ascii="楷体" w:hAnsi="楷体" w:eastAsia="楷体"/>
        </w:rPr>
        <w:t>青阳非金属材料铁路专用线。</w:t>
      </w:r>
    </w:p>
    <w:tbl>
      <w:tblPr>
        <w:tblStyle w:val="24"/>
        <w:tblpPr w:leftFromText="180" w:rightFromText="180" w:vertAnchor="text" w:horzAnchor="page" w:tblpX="1915" w:tblpY="78"/>
        <w:tblW w:w="829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96" w:type="dxa"/>
            <w:vAlign w:val="center"/>
          </w:tcPr>
          <w:p>
            <w:pPr>
              <w:spacing w:line="360" w:lineRule="auto"/>
              <w:jc w:val="center"/>
              <w:rPr>
                <w:rFonts w:ascii="楷体" w:hAnsi="楷体" w:eastAsia="楷体"/>
                <w:b/>
              </w:rPr>
            </w:pPr>
            <w:r>
              <w:rPr>
                <w:rFonts w:hint="eastAsia" w:ascii="楷体" w:hAnsi="楷体" w:eastAsia="楷体"/>
                <w:b/>
              </w:rPr>
              <w:t>专栏1 轨道交通重点建设项目</w:t>
            </w:r>
          </w:p>
          <w:p>
            <w:pPr>
              <w:spacing w:line="360" w:lineRule="auto"/>
              <w:ind w:firstLine="472" w:firstLineChars="196"/>
              <w:rPr>
                <w:rFonts w:ascii="楷体" w:hAnsi="楷体" w:eastAsia="楷体"/>
                <w:b/>
              </w:rPr>
            </w:pPr>
            <w:r>
              <w:rPr>
                <w:rFonts w:hint="eastAsia" w:ascii="楷体" w:hAnsi="楷体" w:eastAsia="楷体"/>
                <w:b/>
              </w:rPr>
              <w:t>续建</w:t>
            </w:r>
          </w:p>
          <w:p>
            <w:pPr>
              <w:spacing w:line="360" w:lineRule="auto"/>
              <w:ind w:firstLine="470" w:firstLineChars="196"/>
              <w:rPr>
                <w:rFonts w:ascii="楷体" w:hAnsi="楷体" w:eastAsia="楷体"/>
              </w:rPr>
            </w:pPr>
            <w:r>
              <w:rPr>
                <w:rFonts w:hint="eastAsia" w:ascii="楷体" w:hAnsi="楷体" w:eastAsia="楷体"/>
              </w:rPr>
              <w:t>池黄高铁</w:t>
            </w:r>
          </w:p>
          <w:p>
            <w:pPr>
              <w:spacing w:line="360" w:lineRule="auto"/>
              <w:ind w:firstLine="472" w:firstLineChars="196"/>
              <w:rPr>
                <w:rFonts w:ascii="楷体" w:hAnsi="楷体" w:eastAsia="楷体"/>
                <w:b/>
              </w:rPr>
            </w:pPr>
            <w:r>
              <w:rPr>
                <w:rFonts w:hint="eastAsia" w:ascii="楷体" w:hAnsi="楷体" w:eastAsia="楷体"/>
                <w:b/>
              </w:rPr>
              <w:t>力促新开工</w:t>
            </w:r>
          </w:p>
          <w:p>
            <w:pPr>
              <w:spacing w:line="360" w:lineRule="auto"/>
              <w:ind w:firstLine="470" w:firstLineChars="196"/>
              <w:rPr>
                <w:rFonts w:ascii="楷体" w:hAnsi="楷体" w:eastAsia="楷体"/>
              </w:rPr>
            </w:pPr>
            <w:r>
              <w:rPr>
                <w:rFonts w:hint="eastAsia" w:ascii="楷体" w:hAnsi="楷体" w:eastAsia="楷体"/>
              </w:rPr>
              <w:t>合池城际</w:t>
            </w:r>
          </w:p>
          <w:p>
            <w:pPr>
              <w:spacing w:line="360" w:lineRule="auto"/>
              <w:ind w:firstLine="470" w:firstLineChars="196"/>
              <w:rPr>
                <w:rFonts w:ascii="楷体" w:hAnsi="楷体" w:eastAsia="楷体"/>
              </w:rPr>
            </w:pPr>
            <w:r>
              <w:rPr>
                <w:rFonts w:hint="eastAsia" w:ascii="楷体" w:hAnsi="楷体" w:eastAsia="楷体"/>
              </w:rPr>
              <w:t>青阳非金属材料铁路专用线</w:t>
            </w:r>
          </w:p>
          <w:p>
            <w:pPr>
              <w:spacing w:line="360" w:lineRule="auto"/>
              <w:ind w:firstLine="472" w:firstLineChars="196"/>
              <w:rPr>
                <w:rFonts w:ascii="楷体" w:hAnsi="楷体" w:eastAsia="楷体"/>
                <w:b/>
              </w:rPr>
            </w:pPr>
            <w:r>
              <w:rPr>
                <w:rFonts w:hint="eastAsia" w:ascii="楷体" w:hAnsi="楷体" w:eastAsia="楷体"/>
                <w:b/>
              </w:rPr>
              <w:t>谋划</w:t>
            </w:r>
          </w:p>
          <w:p>
            <w:pPr>
              <w:spacing w:line="360" w:lineRule="auto"/>
              <w:ind w:firstLine="470" w:firstLineChars="196"/>
              <w:rPr>
                <w:rFonts w:ascii="楷体" w:hAnsi="楷体" w:eastAsia="楷体"/>
              </w:rPr>
            </w:pPr>
            <w:r>
              <w:rPr>
                <w:rFonts w:hint="eastAsia" w:ascii="楷体" w:hAnsi="楷体" w:eastAsia="楷体"/>
              </w:rPr>
              <w:t>宣城</w:t>
            </w:r>
            <w:r>
              <w:rPr>
                <w:rFonts w:ascii="楷体" w:hAnsi="楷体" w:eastAsia="楷体"/>
              </w:rPr>
              <w:t>-</w:t>
            </w:r>
            <w:r>
              <w:rPr>
                <w:rFonts w:hint="eastAsia" w:ascii="楷体" w:hAnsi="楷体" w:eastAsia="楷体"/>
              </w:rPr>
              <w:t>青阳城际铁路</w:t>
            </w:r>
          </w:p>
        </w:tc>
      </w:tr>
    </w:tbl>
    <w:p>
      <w:pPr>
        <w:pStyle w:val="63"/>
        <w:spacing w:line="540" w:lineRule="exact"/>
        <w:ind w:firstLine="643"/>
        <w:outlineLvl w:val="3"/>
        <w:rPr>
          <w:bCs/>
        </w:rPr>
      </w:pPr>
      <w:r>
        <w:t>2</w:t>
      </w:r>
      <w:r>
        <w:rPr>
          <w:rFonts w:hint="eastAsia"/>
        </w:rPr>
        <w:t>、建设畅通高效的高速公路网</w:t>
      </w:r>
    </w:p>
    <w:p>
      <w:pPr>
        <w:pStyle w:val="61"/>
        <w:spacing w:line="540" w:lineRule="exact"/>
        <w:ind w:firstLine="643"/>
      </w:pPr>
      <w:bookmarkStart w:id="15" w:name="_Hlk47963548"/>
      <w:r>
        <w:rPr>
          <w:rFonts w:hint="eastAsia"/>
          <w:b/>
        </w:rPr>
        <w:t>锚定2</w:t>
      </w:r>
      <w:r>
        <w:rPr>
          <w:b/>
        </w:rPr>
        <w:t>035</w:t>
      </w:r>
      <w:r>
        <w:rPr>
          <w:rFonts w:hint="eastAsia"/>
          <w:b/>
        </w:rPr>
        <w:t>年</w:t>
      </w:r>
      <w:r>
        <w:rPr>
          <w:rFonts w:hint="eastAsia"/>
        </w:rPr>
        <w:t>，青阳县境内规划总里程约28.6公里，新增宁国</w:t>
      </w:r>
      <w:r>
        <w:t>-枞阳高速公路规划路线</w:t>
      </w:r>
      <w:r>
        <w:rPr>
          <w:rFonts w:hint="eastAsia"/>
        </w:rPr>
        <w:t>，形成</w:t>
      </w:r>
      <w:r>
        <w:rPr>
          <w:bCs/>
        </w:rPr>
        <w:t>“</w:t>
      </w:r>
      <w:r>
        <w:rPr>
          <w:rFonts w:hint="eastAsia"/>
          <w:bCs/>
        </w:rPr>
        <w:t>一</w:t>
      </w:r>
      <w:r>
        <w:rPr>
          <w:bCs/>
        </w:rPr>
        <w:t>纵</w:t>
      </w:r>
      <w:r>
        <w:rPr>
          <w:rFonts w:hint="eastAsia"/>
          <w:bCs/>
        </w:rPr>
        <w:t>一</w:t>
      </w:r>
      <w:r>
        <w:rPr>
          <w:bCs/>
        </w:rPr>
        <w:t>横</w:t>
      </w:r>
      <w:r>
        <w:rPr>
          <w:rFonts w:hint="eastAsia"/>
          <w:bCs/>
        </w:rPr>
        <w:t>一</w:t>
      </w:r>
      <w:r>
        <w:rPr>
          <w:bCs/>
        </w:rPr>
        <w:t>联”的高速公路网络</w:t>
      </w:r>
      <w:r>
        <w:rPr>
          <w:rFonts w:hint="eastAsia"/>
          <w:bCs/>
        </w:rPr>
        <w:t>。</w:t>
      </w:r>
    </w:p>
    <w:p>
      <w:pPr>
        <w:snapToGrid w:val="0"/>
        <w:spacing w:beforeLines="50" w:line="360" w:lineRule="auto"/>
        <w:jc w:val="center"/>
        <w:rPr>
          <w:rFonts w:ascii="黑体" w:hAnsi="宋体" w:eastAsia="黑体"/>
          <w:bCs/>
        </w:rPr>
      </w:pPr>
      <w:r>
        <w:rPr>
          <w:rFonts w:hint="eastAsia" w:ascii="黑体" w:hAnsi="宋体" w:eastAsia="黑体"/>
          <w:bCs/>
        </w:rPr>
        <w:t>表</w:t>
      </w:r>
      <w:r>
        <w:rPr>
          <w:rFonts w:ascii="黑体" w:hAnsi="宋体" w:eastAsia="黑体"/>
          <w:bCs/>
        </w:rPr>
        <w:t>5</w:t>
      </w:r>
      <w:r>
        <w:rPr>
          <w:rFonts w:hint="eastAsia" w:ascii="黑体" w:hAnsi="宋体" w:eastAsia="黑体"/>
          <w:bCs/>
        </w:rPr>
        <w:t xml:space="preserve"> “一纵一横一联”高速公路布局一览表</w:t>
      </w:r>
    </w:p>
    <w:tbl>
      <w:tblPr>
        <w:tblStyle w:val="24"/>
        <w:tblW w:w="866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976"/>
        <w:gridCol w:w="3119"/>
        <w:gridCol w:w="15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编号</w:t>
            </w:r>
          </w:p>
        </w:tc>
        <w:tc>
          <w:tcPr>
            <w:tcW w:w="2976"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路段</w:t>
            </w:r>
            <w:r>
              <w:rPr>
                <w:rFonts w:cs="Arial" w:asciiTheme="majorEastAsia" w:hAnsiTheme="majorEastAsia" w:eastAsiaTheme="majorEastAsia"/>
                <w:b/>
                <w:sz w:val="21"/>
                <w:szCs w:val="21"/>
              </w:rPr>
              <w:t>组成</w:t>
            </w:r>
          </w:p>
        </w:tc>
        <w:tc>
          <w:tcPr>
            <w:tcW w:w="3119"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主要控制点</w:t>
            </w:r>
          </w:p>
        </w:tc>
        <w:tc>
          <w:tcPr>
            <w:tcW w:w="1572" w:type="dxa"/>
            <w:vAlign w:val="center"/>
          </w:tcPr>
          <w:p>
            <w:pPr>
              <w:jc w:val="center"/>
              <w:rPr>
                <w:rFonts w:cs="Arial" w:asciiTheme="majorEastAsia" w:hAnsiTheme="majorEastAsia" w:eastAsiaTheme="majorEastAsia"/>
                <w:b/>
                <w:sz w:val="21"/>
                <w:szCs w:val="21"/>
              </w:rPr>
            </w:pPr>
            <w:r>
              <w:rPr>
                <w:rFonts w:hint="eastAsia" w:cs="Arial" w:asciiTheme="majorEastAsia" w:hAnsiTheme="majorEastAsia" w:eastAsiaTheme="majorEastAsia"/>
                <w:b/>
                <w:sz w:val="21"/>
                <w:szCs w:val="21"/>
              </w:rPr>
              <w:t>建设情况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纵一</w:t>
            </w:r>
          </w:p>
        </w:tc>
        <w:tc>
          <w:tcPr>
            <w:tcW w:w="297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G3京台高速</w:t>
            </w:r>
          </w:p>
        </w:tc>
        <w:tc>
          <w:tcPr>
            <w:tcW w:w="311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青阳县、九华山风景区</w:t>
            </w:r>
          </w:p>
        </w:tc>
        <w:tc>
          <w:tcPr>
            <w:tcW w:w="157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已建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横一</w:t>
            </w:r>
          </w:p>
        </w:tc>
        <w:tc>
          <w:tcPr>
            <w:tcW w:w="297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S36宣</w:t>
            </w:r>
            <w:r>
              <w:rPr>
                <w:rFonts w:asciiTheme="majorEastAsia" w:hAnsiTheme="majorEastAsia" w:eastAsiaTheme="majorEastAsia"/>
                <w:sz w:val="21"/>
                <w:szCs w:val="21"/>
              </w:rPr>
              <w:t>东高速</w:t>
            </w:r>
          </w:p>
        </w:tc>
        <w:tc>
          <w:tcPr>
            <w:tcW w:w="311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青阳县、九华山风景区、贵池区、石台县、蓬莱仙洞风景风景区、仙寓山风景区、东至县、九天仙寓风景名胜区</w:t>
            </w:r>
          </w:p>
        </w:tc>
        <w:tc>
          <w:tcPr>
            <w:tcW w:w="157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规划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联一</w:t>
            </w:r>
          </w:p>
        </w:tc>
        <w:tc>
          <w:tcPr>
            <w:tcW w:w="2976"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S40宁</w:t>
            </w:r>
            <w:r>
              <w:rPr>
                <w:rFonts w:asciiTheme="majorEastAsia" w:hAnsiTheme="majorEastAsia" w:eastAsiaTheme="majorEastAsia"/>
                <w:sz w:val="21"/>
                <w:szCs w:val="21"/>
              </w:rPr>
              <w:t>枞高速（</w:t>
            </w:r>
            <w:r>
              <w:rPr>
                <w:rFonts w:hint="eastAsia" w:asciiTheme="majorEastAsia" w:hAnsiTheme="majorEastAsia" w:eastAsiaTheme="majorEastAsia"/>
                <w:sz w:val="21"/>
                <w:szCs w:val="21"/>
              </w:rPr>
              <w:t>含池州长江公铁大桥</w:t>
            </w:r>
            <w:r>
              <w:rPr>
                <w:rFonts w:asciiTheme="majorEastAsia" w:hAnsiTheme="majorEastAsia" w:eastAsiaTheme="majorEastAsia"/>
                <w:sz w:val="21"/>
                <w:szCs w:val="21"/>
              </w:rPr>
              <w:t>）</w:t>
            </w:r>
          </w:p>
        </w:tc>
        <w:tc>
          <w:tcPr>
            <w:tcW w:w="3119"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贵池区、青阳县</w:t>
            </w:r>
          </w:p>
        </w:tc>
        <w:tc>
          <w:tcPr>
            <w:tcW w:w="1572" w:type="dxa"/>
            <w:vAlign w:val="center"/>
          </w:tcPr>
          <w:p>
            <w:pPr>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规划</w:t>
            </w:r>
          </w:p>
        </w:tc>
      </w:tr>
    </w:tbl>
    <w:p>
      <w:pPr>
        <w:pStyle w:val="61"/>
        <w:ind w:firstLine="0" w:firstLineChars="0"/>
      </w:pPr>
      <w:r>
        <w:drawing>
          <wp:inline distT="0" distB="0" distL="0" distR="0">
            <wp:extent cx="5520055" cy="6951345"/>
            <wp:effectExtent l="38100" t="19050" r="23037" b="20527"/>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9"/>
                    <a:stretch>
                      <a:fillRect/>
                    </a:stretch>
                  </pic:blipFill>
                  <pic:spPr>
                    <a:xfrm>
                      <a:off x="0" y="0"/>
                      <a:ext cx="5512970" cy="6942274"/>
                    </a:xfrm>
                    <a:prstGeom prst="rect">
                      <a:avLst/>
                    </a:prstGeom>
                    <a:ln>
                      <a:solidFill>
                        <a:schemeClr val="tx1"/>
                      </a:solidFill>
                    </a:ln>
                  </pic:spPr>
                </pic:pic>
              </a:graphicData>
            </a:graphic>
          </wp:inline>
        </w:drawing>
      </w:r>
    </w:p>
    <w:p>
      <w:pPr>
        <w:snapToGrid w:val="0"/>
        <w:spacing w:line="360" w:lineRule="auto"/>
        <w:jc w:val="center"/>
      </w:pPr>
      <w:r>
        <w:rPr>
          <w:rFonts w:hint="eastAsia" w:ascii="黑体" w:hAnsi="宋体" w:eastAsia="黑体"/>
          <w:bCs/>
        </w:rPr>
        <w:t>图1 青阳县高速</w:t>
      </w:r>
      <w:r>
        <w:rPr>
          <w:rFonts w:ascii="黑体" w:hAnsi="宋体" w:eastAsia="黑体"/>
          <w:bCs/>
        </w:rPr>
        <w:t>公路</w:t>
      </w:r>
      <w:r>
        <w:rPr>
          <w:rFonts w:hint="eastAsia" w:ascii="黑体" w:hAnsi="宋体" w:eastAsia="黑体"/>
          <w:bCs/>
        </w:rPr>
        <w:t>规划</w:t>
      </w:r>
      <w:r>
        <w:rPr>
          <w:rFonts w:ascii="黑体" w:hAnsi="宋体" w:eastAsia="黑体"/>
          <w:bCs/>
        </w:rPr>
        <w:t>布局图</w:t>
      </w:r>
    </w:p>
    <w:p>
      <w:pPr>
        <w:spacing w:line="540" w:lineRule="exact"/>
        <w:ind w:firstLine="643" w:firstLineChars="200"/>
        <w:rPr>
          <w:rFonts w:ascii="仿宋" w:hAnsi="仿宋" w:eastAsia="仿宋" w:cs="仿宋_GB2312"/>
          <w:sz w:val="32"/>
          <w:szCs w:val="30"/>
        </w:rPr>
      </w:pPr>
      <w:r>
        <w:rPr>
          <w:rFonts w:hint="eastAsia" w:ascii="仿宋" w:hAnsi="仿宋" w:eastAsia="仿宋" w:cs="仿宋_GB2312"/>
          <w:b/>
          <w:sz w:val="32"/>
          <w:szCs w:val="30"/>
        </w:rPr>
        <w:t>“十四五”时期</w:t>
      </w:r>
      <w:r>
        <w:rPr>
          <w:rFonts w:hint="eastAsia" w:ascii="仿宋" w:hAnsi="仿宋" w:eastAsia="仿宋" w:cs="仿宋_GB2312"/>
          <w:sz w:val="32"/>
          <w:szCs w:val="30"/>
        </w:rPr>
        <w:t>，加快高速公路贯通加密、扩容改造和服务提升，推进建设S40宁国至</w:t>
      </w:r>
      <w:r>
        <w:rPr>
          <w:rFonts w:ascii="仿宋" w:hAnsi="仿宋" w:eastAsia="仿宋" w:cs="仿宋_GB2312"/>
          <w:sz w:val="32"/>
          <w:szCs w:val="30"/>
        </w:rPr>
        <w:t>枞阳高速</w:t>
      </w:r>
      <w:r>
        <w:rPr>
          <w:rFonts w:hint="eastAsia" w:ascii="仿宋" w:hAnsi="仿宋" w:eastAsia="仿宋" w:cs="仿宋_GB2312"/>
          <w:sz w:val="32"/>
          <w:szCs w:val="30"/>
        </w:rPr>
        <w:t>青阳</w:t>
      </w:r>
      <w:r>
        <w:rPr>
          <w:rFonts w:ascii="仿宋" w:hAnsi="仿宋" w:eastAsia="仿宋" w:cs="仿宋_GB2312"/>
          <w:sz w:val="32"/>
          <w:szCs w:val="30"/>
        </w:rPr>
        <w:t>段</w:t>
      </w:r>
      <w:r>
        <w:rPr>
          <w:rFonts w:hint="eastAsia" w:ascii="仿宋" w:hAnsi="仿宋" w:eastAsia="仿宋" w:cs="仿宋_GB2312"/>
          <w:sz w:val="32"/>
          <w:szCs w:val="30"/>
        </w:rPr>
        <w:t>、S36宣城至</w:t>
      </w:r>
      <w:r>
        <w:rPr>
          <w:rFonts w:ascii="仿宋" w:hAnsi="仿宋" w:eastAsia="仿宋" w:cs="仿宋_GB2312"/>
          <w:sz w:val="32"/>
          <w:szCs w:val="30"/>
        </w:rPr>
        <w:t>东至高速</w:t>
      </w:r>
      <w:r>
        <w:rPr>
          <w:rFonts w:hint="eastAsia" w:ascii="仿宋" w:hAnsi="仿宋" w:eastAsia="仿宋" w:cs="仿宋_GB2312"/>
          <w:sz w:val="32"/>
          <w:szCs w:val="30"/>
        </w:rPr>
        <w:t>青阳</w:t>
      </w:r>
      <w:r>
        <w:rPr>
          <w:rFonts w:ascii="仿宋" w:hAnsi="仿宋" w:eastAsia="仿宋" w:cs="仿宋_GB2312"/>
          <w:sz w:val="32"/>
          <w:szCs w:val="30"/>
        </w:rPr>
        <w:t>段</w:t>
      </w:r>
      <w:r>
        <w:rPr>
          <w:rFonts w:hint="eastAsia" w:ascii="仿宋" w:hAnsi="仿宋" w:eastAsia="仿宋" w:cs="仿宋_GB2312"/>
          <w:sz w:val="32"/>
          <w:szCs w:val="30"/>
        </w:rPr>
        <w:t>，不断提高覆盖率、</w:t>
      </w:r>
      <w:r>
        <w:rPr>
          <w:rFonts w:ascii="仿宋" w:hAnsi="仿宋" w:eastAsia="仿宋" w:cs="仿宋_GB2312"/>
          <w:sz w:val="32"/>
          <w:szCs w:val="30"/>
        </w:rPr>
        <w:t>通达性</w:t>
      </w:r>
      <w:r>
        <w:rPr>
          <w:rFonts w:hint="eastAsia" w:ascii="仿宋" w:hAnsi="仿宋" w:eastAsia="仿宋" w:cs="仿宋_GB2312"/>
          <w:sz w:val="32"/>
          <w:szCs w:val="30"/>
        </w:rPr>
        <w:t>，发挥高速公路规模效益，提升高速公路服务能力。</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360" w:lineRule="auto"/>
              <w:jc w:val="center"/>
              <w:rPr>
                <w:rFonts w:ascii="楷体" w:hAnsi="楷体" w:eastAsia="楷体"/>
                <w:b/>
              </w:rPr>
            </w:pPr>
            <w:r>
              <w:rPr>
                <w:rFonts w:hint="eastAsia" w:ascii="楷体" w:hAnsi="楷体" w:eastAsia="楷体"/>
                <w:b/>
              </w:rPr>
              <w:t>专栏2  高速公路重点建设项目</w:t>
            </w:r>
          </w:p>
          <w:p>
            <w:pPr>
              <w:spacing w:line="360" w:lineRule="auto"/>
              <w:ind w:firstLine="482" w:firstLineChars="200"/>
              <w:rPr>
                <w:rFonts w:ascii="楷体" w:hAnsi="楷体" w:eastAsia="楷体"/>
                <w:b/>
              </w:rPr>
            </w:pPr>
            <w:r>
              <w:rPr>
                <w:rFonts w:hint="eastAsia" w:ascii="楷体" w:hAnsi="楷体" w:eastAsia="楷体"/>
                <w:b/>
              </w:rPr>
              <w:t>力促新开工</w:t>
            </w:r>
            <w:r>
              <w:rPr>
                <w:rFonts w:ascii="楷体" w:hAnsi="楷体" w:eastAsia="楷体"/>
                <w:b/>
              </w:rPr>
              <w:t>：</w:t>
            </w:r>
          </w:p>
          <w:p>
            <w:pPr>
              <w:spacing w:line="360" w:lineRule="auto"/>
              <w:ind w:firstLine="480" w:firstLineChars="200"/>
              <w:rPr>
                <w:rFonts w:ascii="楷体" w:hAnsi="楷体" w:eastAsia="楷体"/>
              </w:rPr>
            </w:pPr>
            <w:r>
              <w:rPr>
                <w:rFonts w:hint="eastAsia" w:ascii="楷体" w:hAnsi="楷体" w:eastAsia="楷体"/>
              </w:rPr>
              <w:t>S40宁国至枞阳（泾县经池州至枞阳）</w:t>
            </w:r>
          </w:p>
          <w:p>
            <w:pPr>
              <w:spacing w:line="360" w:lineRule="auto"/>
              <w:ind w:firstLine="480" w:firstLineChars="200"/>
              <w:rPr>
                <w:rFonts w:ascii="楷体" w:hAnsi="楷体" w:eastAsia="楷体"/>
              </w:rPr>
            </w:pPr>
            <w:r>
              <w:rPr>
                <w:rFonts w:hint="eastAsia" w:ascii="楷体" w:hAnsi="楷体" w:eastAsia="楷体"/>
              </w:rPr>
              <w:t>S36宣城至东至（青阳经石台至东至段）</w:t>
            </w:r>
          </w:p>
        </w:tc>
      </w:tr>
      <w:bookmarkEnd w:id="15"/>
    </w:tbl>
    <w:p>
      <w:pPr>
        <w:pStyle w:val="61"/>
        <w:spacing w:line="540" w:lineRule="exact"/>
        <w:ind w:firstLine="640"/>
        <w:rPr>
          <w:rFonts w:hint="eastAsia" w:ascii="楷体_GB2312" w:hAnsi="楷体_GB2312" w:eastAsia="楷体_GB2312" w:cs="楷体_GB2312"/>
          <w:b/>
          <w:bCs/>
        </w:rPr>
      </w:pPr>
      <w:bookmarkStart w:id="16" w:name="_Toc97394571"/>
      <w:bookmarkStart w:id="17" w:name="_Toc104537493"/>
      <w:r>
        <w:rPr>
          <w:rFonts w:hint="eastAsia" w:ascii="楷体_GB2312" w:hAnsi="楷体_GB2312" w:eastAsia="楷体_GB2312" w:cs="楷体_GB2312"/>
          <w:b/>
          <w:bCs/>
        </w:rPr>
        <w:t>（二）构建完善顺畅的干线网</w:t>
      </w:r>
      <w:bookmarkEnd w:id="16"/>
      <w:bookmarkEnd w:id="17"/>
    </w:p>
    <w:p>
      <w:pPr>
        <w:pStyle w:val="61"/>
        <w:spacing w:line="540" w:lineRule="exact"/>
        <w:ind w:firstLine="640"/>
      </w:pPr>
      <w:r>
        <w:rPr>
          <w:rFonts w:hint="eastAsia"/>
        </w:rPr>
        <w:t>以普通国省道、干线航道为重点，打造高运行效率、强服务能力的干线网。</w:t>
      </w:r>
    </w:p>
    <w:p>
      <w:pPr>
        <w:pStyle w:val="63"/>
        <w:spacing w:line="540" w:lineRule="exact"/>
        <w:ind w:firstLine="643"/>
        <w:outlineLvl w:val="3"/>
        <w:rPr>
          <w:bCs/>
        </w:rPr>
      </w:pPr>
      <w:r>
        <w:t>1</w:t>
      </w:r>
      <w:r>
        <w:rPr>
          <w:rFonts w:hint="eastAsia"/>
        </w:rPr>
        <w:t>、建设互联互通干线公路网</w:t>
      </w:r>
    </w:p>
    <w:p>
      <w:pPr>
        <w:pStyle w:val="61"/>
        <w:spacing w:line="540" w:lineRule="exact"/>
        <w:ind w:firstLine="643"/>
      </w:pPr>
      <w:bookmarkStart w:id="18" w:name="_Hlk47963596"/>
      <w:r>
        <w:rPr>
          <w:rFonts w:hint="eastAsia"/>
          <w:b/>
        </w:rPr>
        <w:t>锚定2</w:t>
      </w:r>
      <w:r>
        <w:rPr>
          <w:b/>
        </w:rPr>
        <w:t>035</w:t>
      </w:r>
      <w:r>
        <w:rPr>
          <w:rFonts w:hint="eastAsia"/>
          <w:b/>
        </w:rPr>
        <w:t>年</w:t>
      </w:r>
      <w:r>
        <w:rPr>
          <w:rFonts w:hint="eastAsia"/>
        </w:rPr>
        <w:t>，青阳县境内普通国省道规划里程合计156.25公里，构成“三纵四横四联”干线公路网。形成与周边市县的互联互通。</w:t>
      </w:r>
    </w:p>
    <w:p>
      <w:pPr>
        <w:pStyle w:val="61"/>
        <w:spacing w:line="540" w:lineRule="exact"/>
        <w:ind w:firstLine="640"/>
      </w:pPr>
    </w:p>
    <w:tbl>
      <w:tblPr>
        <w:tblStyle w:val="24"/>
        <w:tblpPr w:leftFromText="180" w:rightFromText="180" w:vertAnchor="text" w:horzAnchor="margin" w:tblpXSpec="center" w:tblpY="509"/>
        <w:tblW w:w="863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 w:type="dxa"/>
          <w:bottom w:w="0" w:type="dxa"/>
          <w:right w:w="10" w:type="dxa"/>
        </w:tblCellMar>
      </w:tblPr>
      <w:tblGrid>
        <w:gridCol w:w="865"/>
        <w:gridCol w:w="5026"/>
        <w:gridCol w:w="274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69" w:hRule="atLeast"/>
        </w:trPr>
        <w:tc>
          <w:tcPr>
            <w:tcW w:w="865" w:type="dxa"/>
            <w:vAlign w:val="center"/>
          </w:tcPr>
          <w:p>
            <w:pPr>
              <w:spacing w:line="240" w:lineRule="exact"/>
              <w:jc w:val="center"/>
              <w:rPr>
                <w:rFonts w:asciiTheme="minorEastAsia" w:hAnsiTheme="minorEastAsia"/>
                <w:b/>
                <w:sz w:val="21"/>
                <w:szCs w:val="21"/>
              </w:rPr>
            </w:pPr>
            <w:r>
              <w:rPr>
                <w:rFonts w:cs="等线" w:asciiTheme="minorEastAsia" w:hAnsiTheme="minorEastAsia"/>
                <w:b/>
                <w:sz w:val="21"/>
                <w:szCs w:val="21"/>
              </w:rPr>
              <w:t>编号</w:t>
            </w:r>
          </w:p>
        </w:tc>
        <w:tc>
          <w:tcPr>
            <w:tcW w:w="5026" w:type="dxa"/>
            <w:vAlign w:val="center"/>
          </w:tcPr>
          <w:p>
            <w:pPr>
              <w:spacing w:line="240" w:lineRule="exact"/>
              <w:jc w:val="center"/>
              <w:rPr>
                <w:rFonts w:asciiTheme="minorEastAsia" w:hAnsiTheme="minorEastAsia"/>
                <w:b/>
                <w:sz w:val="21"/>
                <w:szCs w:val="21"/>
              </w:rPr>
            </w:pPr>
            <w:r>
              <w:rPr>
                <w:rFonts w:cs="等线" w:asciiTheme="minorEastAsia" w:hAnsiTheme="minorEastAsia"/>
                <w:b/>
                <w:sz w:val="21"/>
                <w:szCs w:val="21"/>
              </w:rPr>
              <w:t>路线名称</w:t>
            </w:r>
          </w:p>
        </w:tc>
        <w:tc>
          <w:tcPr>
            <w:tcW w:w="2745" w:type="dxa"/>
            <w:vAlign w:val="center"/>
          </w:tcPr>
          <w:p>
            <w:pPr>
              <w:spacing w:line="240" w:lineRule="exact"/>
              <w:jc w:val="center"/>
              <w:rPr>
                <w:rFonts w:asciiTheme="minorEastAsia" w:hAnsiTheme="minorEastAsia"/>
                <w:b/>
                <w:sz w:val="21"/>
                <w:szCs w:val="21"/>
              </w:rPr>
            </w:pPr>
            <w:r>
              <w:rPr>
                <w:rFonts w:cs="等线" w:asciiTheme="minorEastAsia" w:hAnsiTheme="minorEastAsia"/>
                <w:b/>
                <w:sz w:val="21"/>
                <w:szCs w:val="21"/>
              </w:rPr>
              <w:t>路段组成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纵一</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铜陵－青阳－黄山公路</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G330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纵二</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大通－陵阳</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S219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纵三</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梅龙－五溪－九华山</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S228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hint="eastAsia" w:cs="等线" w:asciiTheme="minorEastAsia" w:hAnsiTheme="minorEastAsia"/>
                <w:sz w:val="21"/>
                <w:szCs w:val="21"/>
              </w:rPr>
              <w:t>横一</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陵阳－石台－东至</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G530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横二</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南陵－</w:t>
            </w:r>
            <w:r>
              <w:rPr>
                <w:rFonts w:hint="eastAsia" w:cs="等线" w:asciiTheme="minorEastAsia" w:hAnsiTheme="minorEastAsia"/>
                <w:sz w:val="21"/>
                <w:szCs w:val="21"/>
              </w:rPr>
              <w:t>青阳</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G318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横三</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青阳－红石</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S221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横四</w:t>
            </w:r>
          </w:p>
        </w:tc>
        <w:tc>
          <w:tcPr>
            <w:tcW w:w="5026" w:type="dxa"/>
            <w:vAlign w:val="center"/>
          </w:tcPr>
          <w:p>
            <w:pPr>
              <w:spacing w:line="240" w:lineRule="exact"/>
              <w:jc w:val="center"/>
              <w:rPr>
                <w:rFonts w:asciiTheme="minorEastAsia" w:hAnsiTheme="minorEastAsia"/>
                <w:sz w:val="21"/>
                <w:szCs w:val="21"/>
              </w:rPr>
            </w:pPr>
            <w:r>
              <w:rPr>
                <w:rFonts w:hint="eastAsia" w:cs="等线" w:asciiTheme="minorEastAsia" w:hAnsiTheme="minorEastAsia"/>
                <w:sz w:val="21"/>
                <w:szCs w:val="21"/>
              </w:rPr>
              <w:t>丁桥</w:t>
            </w:r>
            <w:r>
              <w:rPr>
                <w:rFonts w:cs="等线" w:asciiTheme="minorEastAsia" w:hAnsiTheme="minorEastAsia"/>
                <w:sz w:val="21"/>
                <w:szCs w:val="21"/>
              </w:rPr>
              <w:t>－</w:t>
            </w:r>
            <w:r>
              <w:rPr>
                <w:rFonts w:hint="eastAsia" w:cs="等线" w:asciiTheme="minorEastAsia" w:hAnsiTheme="minorEastAsia"/>
                <w:sz w:val="21"/>
                <w:szCs w:val="21"/>
              </w:rPr>
              <w:t>乔木</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w:t>
            </w:r>
            <w:r>
              <w:rPr>
                <w:rFonts w:hint="eastAsia" w:cs="等线" w:asciiTheme="minorEastAsia" w:hAnsiTheme="minorEastAsia"/>
                <w:sz w:val="21"/>
                <w:szCs w:val="21"/>
              </w:rPr>
              <w:t>103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jc w:val="center"/>
              <w:rPr>
                <w:rFonts w:asciiTheme="minorEastAsia" w:hAnsiTheme="minorEastAsia"/>
                <w:sz w:val="21"/>
                <w:szCs w:val="21"/>
              </w:rPr>
            </w:pPr>
            <w:r>
              <w:rPr>
                <w:rFonts w:hint="eastAsia" w:cs="等线" w:asciiTheme="minorEastAsia" w:hAnsiTheme="minorEastAsia"/>
                <w:sz w:val="21"/>
                <w:szCs w:val="21"/>
              </w:rPr>
              <w:t>联一</w:t>
            </w:r>
          </w:p>
        </w:tc>
        <w:tc>
          <w:tcPr>
            <w:tcW w:w="5026" w:type="dxa"/>
            <w:vAlign w:val="center"/>
          </w:tcPr>
          <w:p>
            <w:pPr>
              <w:jc w:val="center"/>
              <w:rPr>
                <w:rFonts w:asciiTheme="minorEastAsia" w:hAnsiTheme="minorEastAsia"/>
                <w:sz w:val="21"/>
                <w:szCs w:val="21"/>
              </w:rPr>
            </w:pPr>
            <w:r>
              <w:rPr>
                <w:rFonts w:hint="eastAsia" w:cs="等线" w:asciiTheme="minorEastAsia" w:hAnsiTheme="minorEastAsia"/>
                <w:sz w:val="21"/>
                <w:szCs w:val="21"/>
              </w:rPr>
              <w:t>石门高</w:t>
            </w:r>
            <w:r>
              <w:rPr>
                <w:rFonts w:cs="等线" w:asciiTheme="minorEastAsia" w:hAnsiTheme="minorEastAsia"/>
                <w:sz w:val="21"/>
                <w:szCs w:val="21"/>
              </w:rPr>
              <w:t>－</w:t>
            </w:r>
            <w:r>
              <w:rPr>
                <w:rFonts w:hint="eastAsia" w:cs="等线" w:asciiTheme="minorEastAsia" w:hAnsiTheme="minorEastAsia"/>
                <w:sz w:val="21"/>
                <w:szCs w:val="21"/>
              </w:rPr>
              <w:t>南阳</w:t>
            </w:r>
            <w:r>
              <w:rPr>
                <w:rFonts w:cs="等线" w:asciiTheme="minorEastAsia" w:hAnsiTheme="minorEastAsia"/>
                <w:sz w:val="21"/>
                <w:szCs w:val="21"/>
              </w:rPr>
              <w:t>－</w:t>
            </w:r>
            <w:r>
              <w:rPr>
                <w:rFonts w:hint="eastAsia" w:cs="等线" w:asciiTheme="minorEastAsia" w:hAnsiTheme="minorEastAsia"/>
                <w:sz w:val="21"/>
                <w:szCs w:val="21"/>
              </w:rPr>
              <w:t>六都</w:t>
            </w:r>
          </w:p>
        </w:tc>
        <w:tc>
          <w:tcPr>
            <w:tcW w:w="2745" w:type="dxa"/>
            <w:vAlign w:val="center"/>
          </w:tcPr>
          <w:p>
            <w:pPr>
              <w:jc w:val="center"/>
              <w:rPr>
                <w:rFonts w:asciiTheme="minorEastAsia" w:hAnsiTheme="minorEastAsia"/>
                <w:sz w:val="21"/>
                <w:szCs w:val="21"/>
              </w:rPr>
            </w:pPr>
            <w:r>
              <w:rPr>
                <w:rFonts w:cs="等线" w:asciiTheme="minorEastAsia" w:hAnsiTheme="minorEastAsia"/>
                <w:sz w:val="21"/>
                <w:szCs w:val="21"/>
              </w:rPr>
              <w:t>S225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联二</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丁桥－西湖</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S461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联三</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丁桥－何湾</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S463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1" w:hRule="atLeast"/>
        </w:trPr>
        <w:tc>
          <w:tcPr>
            <w:tcW w:w="86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联</w:t>
            </w:r>
            <w:r>
              <w:rPr>
                <w:rFonts w:hint="eastAsia" w:cs="等线" w:asciiTheme="minorEastAsia" w:hAnsiTheme="minorEastAsia"/>
                <w:sz w:val="21"/>
                <w:szCs w:val="21"/>
              </w:rPr>
              <w:t>四</w:t>
            </w:r>
          </w:p>
        </w:tc>
        <w:tc>
          <w:tcPr>
            <w:tcW w:w="5026"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朱备－桃花潭</w:t>
            </w:r>
          </w:p>
        </w:tc>
        <w:tc>
          <w:tcPr>
            <w:tcW w:w="2745" w:type="dxa"/>
            <w:vAlign w:val="center"/>
          </w:tcPr>
          <w:p>
            <w:pPr>
              <w:spacing w:line="240" w:lineRule="exact"/>
              <w:jc w:val="center"/>
              <w:rPr>
                <w:rFonts w:asciiTheme="minorEastAsia" w:hAnsiTheme="minorEastAsia"/>
                <w:sz w:val="21"/>
                <w:szCs w:val="21"/>
              </w:rPr>
            </w:pPr>
            <w:r>
              <w:rPr>
                <w:rFonts w:cs="等线" w:asciiTheme="minorEastAsia" w:hAnsiTheme="minorEastAsia"/>
                <w:sz w:val="21"/>
                <w:szCs w:val="21"/>
              </w:rPr>
              <w:t>S468</w:t>
            </w:r>
          </w:p>
        </w:tc>
      </w:tr>
    </w:tbl>
    <w:p>
      <w:pPr>
        <w:snapToGrid w:val="0"/>
        <w:spacing w:beforeLines="50" w:line="240" w:lineRule="exact"/>
        <w:jc w:val="center"/>
        <w:rPr>
          <w:rFonts w:ascii="黑体" w:hAnsi="宋体" w:eastAsia="黑体"/>
          <w:bCs/>
        </w:rPr>
      </w:pPr>
      <w:r>
        <w:rPr>
          <w:rFonts w:hint="eastAsia" w:ascii="黑体" w:hAnsi="宋体" w:eastAsia="黑体"/>
          <w:bCs/>
        </w:rPr>
        <w:t>表6 “三</w:t>
      </w:r>
      <w:r>
        <w:rPr>
          <w:rFonts w:ascii="黑体" w:hAnsi="宋体" w:eastAsia="黑体"/>
          <w:bCs/>
        </w:rPr>
        <w:t>纵</w:t>
      </w:r>
      <w:r>
        <w:rPr>
          <w:rFonts w:hint="eastAsia" w:ascii="黑体" w:hAnsi="宋体" w:eastAsia="黑体"/>
          <w:bCs/>
        </w:rPr>
        <w:t>四</w:t>
      </w:r>
      <w:r>
        <w:rPr>
          <w:rFonts w:ascii="黑体" w:hAnsi="宋体" w:eastAsia="黑体"/>
          <w:bCs/>
        </w:rPr>
        <w:t>横</w:t>
      </w:r>
      <w:r>
        <w:rPr>
          <w:rFonts w:hint="eastAsia" w:ascii="黑体" w:hAnsi="宋体" w:eastAsia="黑体"/>
          <w:bCs/>
        </w:rPr>
        <w:t>四</w:t>
      </w:r>
      <w:r>
        <w:rPr>
          <w:rFonts w:ascii="黑体" w:hAnsi="宋体" w:eastAsia="黑体"/>
          <w:bCs/>
        </w:rPr>
        <w:t>联</w:t>
      </w:r>
      <w:r>
        <w:rPr>
          <w:rFonts w:hint="eastAsia" w:ascii="黑体" w:hAnsi="宋体" w:eastAsia="黑体"/>
          <w:bCs/>
        </w:rPr>
        <w:t>”国省干线公路布局一览表</w:t>
      </w:r>
    </w:p>
    <w:p>
      <w:r>
        <w:drawing>
          <wp:inline distT="0" distB="0" distL="0" distR="0">
            <wp:extent cx="5528945" cy="7084695"/>
            <wp:effectExtent l="19050" t="19050" r="14366" b="20547"/>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pic:cNvPicPr>
                  </pic:nvPicPr>
                  <pic:blipFill>
                    <a:blip r:embed="rId10"/>
                    <a:stretch>
                      <a:fillRect/>
                    </a:stretch>
                  </pic:blipFill>
                  <pic:spPr>
                    <a:xfrm>
                      <a:off x="0" y="0"/>
                      <a:ext cx="5529184" cy="7085103"/>
                    </a:xfrm>
                    <a:prstGeom prst="rect">
                      <a:avLst/>
                    </a:prstGeom>
                    <a:ln>
                      <a:solidFill>
                        <a:schemeClr val="tx1"/>
                      </a:solidFill>
                    </a:ln>
                  </pic:spPr>
                </pic:pic>
              </a:graphicData>
            </a:graphic>
          </wp:inline>
        </w:drawing>
      </w:r>
    </w:p>
    <w:p>
      <w:pPr>
        <w:snapToGrid w:val="0"/>
        <w:spacing w:line="360" w:lineRule="auto"/>
        <w:jc w:val="center"/>
        <w:rPr>
          <w:rFonts w:ascii="黑体" w:hAnsi="宋体" w:eastAsia="黑体"/>
          <w:bCs/>
        </w:rPr>
      </w:pPr>
      <w:r>
        <w:rPr>
          <w:rFonts w:hint="eastAsia" w:ascii="黑体" w:hAnsi="宋体" w:eastAsia="黑体"/>
          <w:bCs/>
        </w:rPr>
        <w:t>图2 青阳县干线公路网布局</w:t>
      </w:r>
      <w:r>
        <w:rPr>
          <w:rFonts w:ascii="黑体" w:hAnsi="宋体" w:eastAsia="黑体"/>
          <w:bCs/>
        </w:rPr>
        <w:t>规划示意图</w:t>
      </w:r>
    </w:p>
    <w:p>
      <w:pPr>
        <w:pStyle w:val="61"/>
        <w:spacing w:line="540" w:lineRule="exact"/>
        <w:ind w:firstLine="643"/>
      </w:pPr>
      <w:r>
        <w:rPr>
          <w:b/>
        </w:rPr>
        <w:t>“十四五”</w:t>
      </w:r>
      <w:r>
        <w:rPr>
          <w:rFonts w:hint="eastAsia"/>
          <w:b/>
        </w:rPr>
        <w:t>时</w:t>
      </w:r>
      <w:r>
        <w:rPr>
          <w:b/>
        </w:rPr>
        <w:t>期</w:t>
      </w:r>
      <w:r>
        <w:t>，</w:t>
      </w:r>
      <w:r>
        <w:rPr>
          <w:rFonts w:hint="eastAsia"/>
        </w:rPr>
        <w:t>推进国省干线公路优结构、补短板、促转型，完善干线路网。</w:t>
      </w:r>
    </w:p>
    <w:p>
      <w:pPr>
        <w:pStyle w:val="61"/>
        <w:spacing w:line="540" w:lineRule="exact"/>
        <w:ind w:firstLine="643"/>
      </w:pPr>
      <w:r>
        <w:rPr>
          <w:rFonts w:hint="eastAsia"/>
          <w:b/>
        </w:rPr>
        <w:t>主干联通。</w:t>
      </w:r>
      <w:r>
        <w:rPr>
          <w:rFonts w:hint="eastAsia"/>
        </w:rPr>
        <w:t>以县域对外联通为重点，实施</w:t>
      </w:r>
      <w:r>
        <w:t>G318</w:t>
      </w:r>
      <w:r>
        <w:rPr>
          <w:rFonts w:hint="eastAsia"/>
        </w:rPr>
        <w:t>南陵界至木镇段改建工程、G330蛤蟆岭至蓉城段改建工程。</w:t>
      </w:r>
    </w:p>
    <w:p>
      <w:pPr>
        <w:pStyle w:val="61"/>
        <w:keepNext w:val="0"/>
        <w:keepLines w:val="0"/>
        <w:pageBreakBefore w:val="0"/>
        <w:widowControl w:val="0"/>
        <w:kinsoku/>
        <w:wordWrap/>
        <w:overflowPunct/>
        <w:topLinePunct w:val="0"/>
        <w:autoSpaceDE/>
        <w:autoSpaceDN/>
        <w:bidi w:val="0"/>
        <w:adjustRightInd/>
        <w:snapToGrid/>
        <w:spacing w:line="560" w:lineRule="exact"/>
        <w:ind w:firstLine="643"/>
        <w:textAlignment w:val="auto"/>
      </w:pPr>
      <w:r>
        <w:rPr>
          <w:rFonts w:hint="eastAsia"/>
          <w:b/>
        </w:rPr>
        <w:t>城乡一体。</w:t>
      </w:r>
      <w:r>
        <w:rPr>
          <w:rFonts w:hint="eastAsia"/>
        </w:rPr>
        <w:t>完善城乡一体的路网布局，加快实现县到市、县到县、城区到产业园区、县到所辖乡镇快速连通，</w:t>
      </w:r>
      <w:r>
        <w:rPr>
          <w:rFonts w:hint="eastAsia"/>
          <w:color w:val="000000" w:themeColor="text1"/>
        </w:rPr>
        <w:t>实施</w:t>
      </w:r>
      <w:r>
        <w:rPr>
          <w:rFonts w:hint="eastAsia"/>
        </w:rPr>
        <w:t>S221（S358）青石公路（青阳段）改建工程、S219青阳蛤蟆岭至石台六都段改建工程（一期）、S219青阳蛤蟆岭至石台六都段改建工程（二期）、S221青阳至桐梓山建设项目（镁都大道）、S463南陵至丁桥段改造工程、S468泾县桃花潭至青阳朱备段（青阳段）改造工程，提升区域交通网络化水平。</w:t>
      </w:r>
    </w:p>
    <w:p>
      <w:pPr>
        <w:pStyle w:val="61"/>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rPr>
      </w:pPr>
      <w:r>
        <w:rPr>
          <w:rFonts w:hint="eastAsia"/>
          <w:b/>
        </w:rPr>
        <w:t>畅通衔接。</w:t>
      </w:r>
      <w:r>
        <w:rPr>
          <w:rFonts w:hint="eastAsia"/>
        </w:rPr>
        <w:t>减少过境交通对城市交通的干扰，加强公路与城市路网的衔接，实施G3京台高速青阳出口区域交通优化提升工程、G3京台高速青阳北出口项目、G318/G330青阳大转盘改造工程。</w:t>
      </w:r>
    </w:p>
    <w:p>
      <w:pPr>
        <w:pStyle w:val="61"/>
        <w:keepNext w:val="0"/>
        <w:keepLines w:val="0"/>
        <w:pageBreakBefore w:val="0"/>
        <w:widowControl w:val="0"/>
        <w:kinsoku/>
        <w:wordWrap/>
        <w:overflowPunct/>
        <w:topLinePunct w:val="0"/>
        <w:autoSpaceDE/>
        <w:autoSpaceDN/>
        <w:bidi w:val="0"/>
        <w:adjustRightInd/>
        <w:snapToGrid/>
        <w:spacing w:line="560" w:lineRule="exact"/>
        <w:ind w:firstLine="640"/>
        <w:textAlignment w:val="auto"/>
      </w:pPr>
      <w:r>
        <w:t>到2025年，续建一级公路</w:t>
      </w:r>
      <w:r>
        <w:rPr>
          <w:rFonts w:hint="eastAsia"/>
        </w:rPr>
        <w:t>27</w:t>
      </w:r>
      <w:r>
        <w:t>公里</w:t>
      </w:r>
      <w:r>
        <w:rPr>
          <w:rFonts w:hint="eastAsia"/>
        </w:rPr>
        <w:t>。</w:t>
      </w:r>
      <w:r>
        <w:t>“十四五”末，全</w:t>
      </w:r>
      <w:r>
        <w:rPr>
          <w:rFonts w:hint="eastAsia"/>
        </w:rPr>
        <w:t>县</w:t>
      </w:r>
      <w:r>
        <w:t>一级公路总里程达到</w:t>
      </w:r>
      <w:r>
        <w:rPr>
          <w:rFonts w:hint="eastAsia"/>
        </w:rPr>
        <w:tab/>
      </w:r>
      <w:r>
        <w:rPr>
          <w:rFonts w:hint="eastAsia"/>
        </w:rPr>
        <w:t>60.36</w:t>
      </w:r>
      <w:r>
        <w:t>公里。不断构建畅通高效、安全经济、结构合理的“</w:t>
      </w:r>
      <w:r>
        <w:rPr>
          <w:rFonts w:hint="eastAsia"/>
        </w:rPr>
        <w:t>三</w:t>
      </w:r>
      <w:r>
        <w:t>纵</w:t>
      </w:r>
      <w:r>
        <w:rPr>
          <w:rFonts w:hint="eastAsia"/>
        </w:rPr>
        <w:t>四</w:t>
      </w:r>
      <w:r>
        <w:t>横</w:t>
      </w:r>
      <w:r>
        <w:rPr>
          <w:rFonts w:hint="eastAsia"/>
        </w:rPr>
        <w:t>四</w:t>
      </w:r>
      <w:r>
        <w:t>联”国省干线公路网。结合国省干线公路改建工程，相应配套建设一批具有停车场、加油站、厕所等功能的服务区，全面提升干线公路服务质量。</w:t>
      </w:r>
    </w:p>
    <w:p>
      <w:pPr>
        <w:snapToGrid w:val="0"/>
        <w:jc w:val="center"/>
        <w:rPr>
          <w:rFonts w:ascii="黑体" w:hAnsi="宋体" w:eastAsia="黑体"/>
          <w:bCs/>
        </w:rPr>
      </w:pPr>
    </w:p>
    <w:tbl>
      <w:tblPr>
        <w:tblStyle w:val="25"/>
        <w:tblW w:w="8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7" w:type="dxa"/>
          </w:tcPr>
          <w:p>
            <w:pPr>
              <w:spacing w:line="360" w:lineRule="auto"/>
              <w:jc w:val="center"/>
              <w:rPr>
                <w:rFonts w:ascii="楷体" w:hAnsi="楷体" w:eastAsia="楷体"/>
                <w:b/>
              </w:rPr>
            </w:pPr>
            <w:r>
              <w:rPr>
                <w:rFonts w:hint="eastAsia" w:ascii="楷体" w:hAnsi="楷体" w:eastAsia="楷体"/>
                <w:b/>
              </w:rPr>
              <w:t>专栏3 干线公路重点建设项目</w:t>
            </w:r>
          </w:p>
          <w:p>
            <w:pPr>
              <w:spacing w:line="360" w:lineRule="auto"/>
              <w:ind w:firstLine="482" w:firstLineChars="200"/>
              <w:rPr>
                <w:rFonts w:ascii="楷体" w:hAnsi="楷体" w:eastAsia="楷体"/>
              </w:rPr>
            </w:pPr>
            <w:r>
              <w:rPr>
                <w:rFonts w:hint="eastAsia" w:ascii="楷体" w:hAnsi="楷体" w:eastAsia="楷体"/>
                <w:b/>
              </w:rPr>
              <w:t>主干联通。</w:t>
            </w:r>
            <w:r>
              <w:rPr>
                <w:rFonts w:hint="eastAsia" w:ascii="楷体" w:hAnsi="楷体" w:eastAsia="楷体"/>
              </w:rPr>
              <w:t>重点实施</w:t>
            </w:r>
            <w:r>
              <w:rPr>
                <w:rFonts w:ascii="楷体" w:hAnsi="楷体" w:eastAsia="楷体"/>
              </w:rPr>
              <w:t>G318</w:t>
            </w:r>
            <w:r>
              <w:rPr>
                <w:rFonts w:hint="eastAsia" w:ascii="楷体" w:hAnsi="楷体" w:eastAsia="楷体"/>
              </w:rPr>
              <w:t>南陵界至木镇段改建工程、G330蛤蟆岭至蓉城段改建工程。</w:t>
            </w:r>
          </w:p>
          <w:p>
            <w:pPr>
              <w:spacing w:line="360" w:lineRule="auto"/>
              <w:ind w:firstLine="482" w:firstLineChars="200"/>
              <w:rPr>
                <w:rFonts w:ascii="楷体" w:hAnsi="楷体" w:eastAsia="楷体"/>
                <w:bCs/>
              </w:rPr>
            </w:pPr>
            <w:r>
              <w:rPr>
                <w:rFonts w:hint="eastAsia" w:ascii="楷体" w:hAnsi="楷体" w:eastAsia="楷体"/>
                <w:b/>
              </w:rPr>
              <w:t>城乡一体。</w:t>
            </w:r>
            <w:r>
              <w:rPr>
                <w:rFonts w:hint="eastAsia" w:ascii="楷体" w:hAnsi="楷体" w:eastAsia="楷体"/>
              </w:rPr>
              <w:t>重点实施S221（S358）青石公路（青阳段）改建工程、S219青阳蛤蟆岭至石台六都段改建工程（一期）、S219青阳蛤蟆岭至石台六都段改建工程（二期）、S221青阳至桐梓山建设项目（镁都大道）、S463南陵至丁桥段改造工程、S468泾县桃花潭至青阳朱备段（青阳段）改造工程。</w:t>
            </w:r>
          </w:p>
          <w:p>
            <w:pPr>
              <w:spacing w:line="360" w:lineRule="auto"/>
              <w:ind w:firstLine="482" w:firstLineChars="200"/>
              <w:rPr>
                <w:rFonts w:ascii="楷体" w:hAnsi="楷体" w:eastAsia="楷体"/>
                <w:bCs/>
              </w:rPr>
            </w:pPr>
            <w:r>
              <w:rPr>
                <w:rFonts w:hint="eastAsia" w:ascii="楷体" w:hAnsi="楷体" w:eastAsia="楷体"/>
                <w:b/>
              </w:rPr>
              <w:t>畅通衔接。</w:t>
            </w:r>
            <w:r>
              <w:rPr>
                <w:rFonts w:hint="eastAsia" w:ascii="楷体" w:hAnsi="楷体" w:eastAsia="楷体"/>
              </w:rPr>
              <w:t>重点实施G3京台高速青阳出口区域交通优化提升工程、G3京台高速青阳北出口项目、G318/G330青阳大转盘改造工程。</w:t>
            </w:r>
          </w:p>
        </w:tc>
      </w:tr>
      <w:bookmarkEnd w:id="18"/>
    </w:tbl>
    <w:p>
      <w:pPr>
        <w:pStyle w:val="63"/>
        <w:spacing w:line="560" w:lineRule="exact"/>
        <w:ind w:firstLine="643"/>
        <w:outlineLvl w:val="3"/>
        <w:rPr>
          <w:bCs/>
        </w:rPr>
      </w:pPr>
      <w:r>
        <w:rPr>
          <w:rFonts w:hint="eastAsia"/>
        </w:rPr>
        <w:t>2、建设高效互联的水运网</w:t>
      </w:r>
    </w:p>
    <w:p>
      <w:pPr>
        <w:pStyle w:val="61"/>
        <w:spacing w:line="560" w:lineRule="exact"/>
        <w:ind w:firstLine="643"/>
      </w:pPr>
      <w:r>
        <w:rPr>
          <w:rFonts w:hint="eastAsia"/>
          <w:b/>
        </w:rPr>
        <w:drawing>
          <wp:anchor distT="0" distB="0" distL="114300" distR="114300" simplePos="0" relativeHeight="251660288" behindDoc="1" locked="0" layoutInCell="1" allowOverlap="1">
            <wp:simplePos x="0" y="0"/>
            <wp:positionH relativeFrom="column">
              <wp:posOffset>-83185</wp:posOffset>
            </wp:positionH>
            <wp:positionV relativeFrom="paragraph">
              <wp:posOffset>1509395</wp:posOffset>
            </wp:positionV>
            <wp:extent cx="5701030" cy="4731385"/>
            <wp:effectExtent l="19050" t="0" r="0" b="0"/>
            <wp:wrapTight wrapText="bothSides">
              <wp:wrapPolygon>
                <wp:start x="-72" y="0"/>
                <wp:lineTo x="-72" y="21481"/>
                <wp:lineTo x="21581" y="21481"/>
                <wp:lineTo x="21581" y="0"/>
                <wp:lineTo x="-72" y="0"/>
              </wp:wrapPolygon>
            </wp:wrapTight>
            <wp:docPr id="1" name="图片 1" descr="C:\Users\Administrator\Desktop\童埠港区规划布置图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童埠港区规划布置图Z.jpg"/>
                    <pic:cNvPicPr>
                      <a:picLocks noChangeAspect="1" noChangeArrowheads="1"/>
                    </pic:cNvPicPr>
                  </pic:nvPicPr>
                  <pic:blipFill>
                    <a:blip r:embed="rId11"/>
                    <a:srcRect/>
                    <a:stretch>
                      <a:fillRect/>
                    </a:stretch>
                  </pic:blipFill>
                  <pic:spPr>
                    <a:xfrm>
                      <a:off x="0" y="0"/>
                      <a:ext cx="5701030" cy="4731385"/>
                    </a:xfrm>
                    <a:prstGeom prst="rect">
                      <a:avLst/>
                    </a:prstGeom>
                    <a:noFill/>
                    <a:ln w="9525">
                      <a:noFill/>
                      <a:miter lim="800000"/>
                      <a:headEnd/>
                      <a:tailEnd/>
                    </a:ln>
                  </pic:spPr>
                </pic:pic>
              </a:graphicData>
            </a:graphic>
          </wp:anchor>
        </w:drawing>
      </w:r>
      <w:r>
        <w:rPr>
          <w:rFonts w:hint="eastAsia"/>
          <w:b/>
        </w:rPr>
        <w:t>锚定2</w:t>
      </w:r>
      <w:r>
        <w:rPr>
          <w:b/>
        </w:rPr>
        <w:t>035</w:t>
      </w:r>
      <w:r>
        <w:rPr>
          <w:rFonts w:hint="eastAsia"/>
          <w:b/>
        </w:rPr>
        <w:t>年</w:t>
      </w:r>
      <w:r>
        <w:rPr>
          <w:rFonts w:hint="eastAsia"/>
        </w:rPr>
        <w:t>，构成通江达海航运体系，内河航道网络畅通，完成港口“集疏运”体系建设。童埠港成为对接长江经济带、融入长三角城市群和承接产业转移的综合交通枢纽，建成17个生产性泊位。</w:t>
      </w:r>
    </w:p>
    <w:p>
      <w:pPr>
        <w:snapToGrid w:val="0"/>
        <w:spacing w:line="360" w:lineRule="auto"/>
        <w:jc w:val="center"/>
        <w:rPr>
          <w:rFonts w:ascii="黑体" w:hAnsi="宋体" w:eastAsia="黑体"/>
          <w:bCs/>
        </w:rPr>
      </w:pPr>
      <w:r>
        <w:rPr>
          <w:rFonts w:hint="eastAsia" w:ascii="黑体" w:hAnsi="宋体" w:eastAsia="黑体"/>
          <w:bCs/>
        </w:rPr>
        <w:t>图3 青阳县港区布局体系</w:t>
      </w:r>
      <w:r>
        <w:rPr>
          <w:rFonts w:ascii="黑体" w:hAnsi="宋体" w:eastAsia="黑体"/>
          <w:bCs/>
        </w:rPr>
        <w:t>示意图</w:t>
      </w:r>
    </w:p>
    <w:p>
      <w:pPr>
        <w:pStyle w:val="61"/>
        <w:spacing w:line="560" w:lineRule="exact"/>
        <w:ind w:firstLine="643"/>
      </w:pPr>
      <w:r>
        <w:rPr>
          <w:rFonts w:hint="eastAsia"/>
          <w:b/>
        </w:rPr>
        <w:t>“十四</w:t>
      </w:r>
      <w:r>
        <w:rPr>
          <w:b/>
        </w:rPr>
        <w:t>五</w:t>
      </w:r>
      <w:r>
        <w:rPr>
          <w:rFonts w:hint="eastAsia"/>
          <w:b/>
        </w:rPr>
        <w:t>”</w:t>
      </w:r>
      <w:r>
        <w:rPr>
          <w:rFonts w:hint="eastAsia"/>
          <w:b/>
          <w:lang w:eastAsia="zh-CN"/>
        </w:rPr>
        <w:t>时</w:t>
      </w:r>
      <w:r>
        <w:rPr>
          <w:b/>
        </w:rPr>
        <w:t>期</w:t>
      </w:r>
      <w:r>
        <w:t>，</w:t>
      </w:r>
      <w:r>
        <w:rPr>
          <w:rFonts w:hint="eastAsia"/>
        </w:rPr>
        <w:t>推进实施</w:t>
      </w:r>
      <w:r>
        <w:t>青通河航道</w:t>
      </w:r>
      <w:r>
        <w:rPr>
          <w:rFonts w:hint="eastAsia"/>
        </w:rPr>
        <w:t>通过能力提升工程</w:t>
      </w:r>
      <w:r>
        <w:t>；</w:t>
      </w:r>
      <w:r>
        <w:rPr>
          <w:rFonts w:hint="eastAsia"/>
        </w:rPr>
        <w:t>建设童埠港区童埠码头改扩建工程（二期）项目、池州港童埠港区老山、大桥和杨家潭公用码头改扩建工程项目，逐步完善港口物流和集散运输体系</w:t>
      </w:r>
      <w:r>
        <w:t>，港口吞吐量和服务水平大幅度提高。</w:t>
      </w:r>
    </w:p>
    <w:p>
      <w:pPr>
        <w:pStyle w:val="61"/>
        <w:spacing w:line="560" w:lineRule="exact"/>
        <w:ind w:firstLine="640"/>
      </w:pPr>
    </w:p>
    <w:tbl>
      <w:tblPr>
        <w:tblStyle w:val="24"/>
        <w:tblW w:w="82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296" w:type="dxa"/>
          </w:tcPr>
          <w:p>
            <w:pPr>
              <w:spacing w:line="360" w:lineRule="auto"/>
              <w:jc w:val="center"/>
              <w:rPr>
                <w:rFonts w:ascii="楷体" w:hAnsi="楷体" w:eastAsia="楷体"/>
                <w:b/>
              </w:rPr>
            </w:pPr>
            <w:r>
              <w:rPr>
                <w:rFonts w:hint="eastAsia" w:ascii="楷体" w:hAnsi="楷体" w:eastAsia="楷体"/>
                <w:b/>
              </w:rPr>
              <w:t>专栏4</w:t>
            </w:r>
            <w:r>
              <w:rPr>
                <w:rFonts w:ascii="楷体" w:hAnsi="楷体" w:eastAsia="楷体"/>
                <w:b/>
              </w:rPr>
              <w:t xml:space="preserve"> </w:t>
            </w:r>
            <w:r>
              <w:rPr>
                <w:rFonts w:hint="eastAsia" w:ascii="楷体" w:hAnsi="楷体" w:eastAsia="楷体"/>
                <w:b/>
              </w:rPr>
              <w:t>水运重点建设项目</w:t>
            </w:r>
          </w:p>
          <w:p>
            <w:pPr>
              <w:spacing w:line="360" w:lineRule="auto"/>
              <w:ind w:firstLine="472" w:firstLineChars="196"/>
              <w:rPr>
                <w:rFonts w:ascii="楷体" w:hAnsi="楷体" w:eastAsia="楷体"/>
                <w:b/>
              </w:rPr>
            </w:pPr>
            <w:r>
              <w:rPr>
                <w:rFonts w:hint="eastAsia" w:ascii="楷体" w:hAnsi="楷体" w:eastAsia="楷体"/>
                <w:b/>
              </w:rPr>
              <w:t>新开工</w:t>
            </w:r>
          </w:p>
          <w:p>
            <w:pPr>
              <w:spacing w:line="360" w:lineRule="auto"/>
              <w:ind w:firstLine="470" w:firstLineChars="196"/>
              <w:rPr>
                <w:rFonts w:ascii="楷体" w:hAnsi="楷体" w:eastAsia="楷体"/>
                <w:bCs/>
              </w:rPr>
            </w:pPr>
            <w:r>
              <w:rPr>
                <w:rFonts w:ascii="楷体" w:hAnsi="楷体" w:eastAsia="楷体"/>
                <w:bCs/>
              </w:rPr>
              <w:t>青通河航道</w:t>
            </w:r>
            <w:r>
              <w:rPr>
                <w:rFonts w:hint="eastAsia" w:ascii="楷体" w:hAnsi="楷体" w:eastAsia="楷体"/>
                <w:bCs/>
              </w:rPr>
              <w:t>通过能力提升工程</w:t>
            </w:r>
          </w:p>
          <w:p>
            <w:pPr>
              <w:spacing w:line="360" w:lineRule="auto"/>
              <w:ind w:firstLine="470" w:firstLineChars="196"/>
              <w:rPr>
                <w:rFonts w:ascii="楷体" w:hAnsi="楷体" w:eastAsia="楷体"/>
                <w:bCs/>
              </w:rPr>
            </w:pPr>
            <w:r>
              <w:rPr>
                <w:rFonts w:hint="eastAsia" w:ascii="楷体" w:hAnsi="楷体" w:eastAsia="楷体"/>
                <w:bCs/>
              </w:rPr>
              <w:t>童埠港区童埠码头改扩建工程（二期）</w:t>
            </w:r>
          </w:p>
          <w:p>
            <w:pPr>
              <w:spacing w:line="360" w:lineRule="auto"/>
              <w:ind w:firstLine="470" w:firstLineChars="196"/>
              <w:rPr>
                <w:rFonts w:ascii="楷体" w:hAnsi="楷体" w:eastAsia="楷体"/>
                <w:bCs/>
              </w:rPr>
            </w:pPr>
            <w:r>
              <w:rPr>
                <w:rFonts w:hint="eastAsia" w:ascii="楷体" w:hAnsi="楷体" w:eastAsia="楷体"/>
                <w:bCs/>
              </w:rPr>
              <w:t>池州港童埠港区老山、大桥和杨家潭公用码头改扩建工程项目</w:t>
            </w:r>
          </w:p>
        </w:tc>
      </w:tr>
    </w:tbl>
    <w:p>
      <w:pPr>
        <w:pStyle w:val="59"/>
        <w:ind w:firstLine="640"/>
        <w:rPr>
          <w:rFonts w:hint="eastAsia" w:ascii="楷体_GB2312" w:hAnsi="楷体_GB2312" w:eastAsia="楷体_GB2312" w:cs="楷体_GB2312"/>
          <w:b/>
          <w:bCs w:val="0"/>
        </w:rPr>
      </w:pPr>
      <w:bookmarkStart w:id="19" w:name="_Toc104537494"/>
      <w:bookmarkStart w:id="20" w:name="_Toc97394572"/>
      <w:r>
        <w:rPr>
          <w:rFonts w:hint="eastAsia" w:ascii="楷体_GB2312" w:hAnsi="楷体_GB2312" w:eastAsia="楷体_GB2312" w:cs="楷体_GB2312"/>
          <w:b/>
          <w:bCs w:val="0"/>
        </w:rPr>
        <w:t>（三）构建广泛便捷的基础网</w:t>
      </w:r>
      <w:bookmarkEnd w:id="19"/>
      <w:bookmarkEnd w:id="20"/>
    </w:p>
    <w:p>
      <w:pPr>
        <w:pStyle w:val="61"/>
        <w:spacing w:line="540" w:lineRule="exact"/>
        <w:ind w:firstLine="640"/>
      </w:pPr>
      <w:r>
        <w:rPr>
          <w:rFonts w:hint="eastAsia"/>
        </w:rPr>
        <w:t>以</w:t>
      </w:r>
      <w:r>
        <w:rPr>
          <w:rFonts w:hint="eastAsia"/>
          <w:b/>
        </w:rPr>
        <w:t>农村公路、通用航空</w:t>
      </w:r>
      <w:r>
        <w:rPr>
          <w:rFonts w:hint="eastAsia"/>
        </w:rPr>
        <w:t>为重点，打造深度通达、普惠城乡的基础网。</w:t>
      </w:r>
    </w:p>
    <w:p>
      <w:pPr>
        <w:pStyle w:val="63"/>
        <w:spacing w:line="540" w:lineRule="exact"/>
        <w:ind w:firstLine="643"/>
        <w:outlineLvl w:val="3"/>
      </w:pPr>
      <w:r>
        <w:t>1</w:t>
      </w:r>
      <w:r>
        <w:rPr>
          <w:rFonts w:hint="eastAsia"/>
        </w:rPr>
        <w:t>、</w:t>
      </w:r>
      <w:r>
        <w:t>建设</w:t>
      </w:r>
      <w:r>
        <w:rPr>
          <w:rFonts w:hint="eastAsia"/>
        </w:rPr>
        <w:t>覆盖全面农村</w:t>
      </w:r>
      <w:r>
        <w:t>公路网</w:t>
      </w:r>
    </w:p>
    <w:p>
      <w:pPr>
        <w:spacing w:line="540" w:lineRule="exact"/>
        <w:ind w:firstLine="643" w:firstLineChars="200"/>
        <w:rPr>
          <w:rFonts w:ascii="仿宋" w:hAnsi="仿宋" w:eastAsia="仿宋" w:cs="仿宋_GB2312"/>
          <w:kern w:val="2"/>
          <w:sz w:val="32"/>
          <w:szCs w:val="30"/>
        </w:rPr>
      </w:pPr>
      <w:r>
        <w:rPr>
          <w:rFonts w:hint="eastAsia" w:ascii="仿宋" w:hAnsi="仿宋" w:eastAsia="仿宋" w:cs="仿宋_GB2312"/>
          <w:b/>
          <w:kern w:val="2"/>
          <w:sz w:val="32"/>
          <w:szCs w:val="30"/>
        </w:rPr>
        <w:t>锚定2035年</w:t>
      </w:r>
      <w:r>
        <w:rPr>
          <w:rFonts w:hint="eastAsia" w:ascii="仿宋" w:hAnsi="仿宋" w:eastAsia="仿宋" w:cs="仿宋_GB2312"/>
          <w:kern w:val="2"/>
          <w:sz w:val="32"/>
          <w:szCs w:val="30"/>
        </w:rPr>
        <w:t>，</w:t>
      </w:r>
      <w:r>
        <w:rPr>
          <w:rFonts w:hint="eastAsia" w:ascii="仿宋" w:hAnsi="仿宋" w:eastAsia="仿宋" w:cs="仿宋_GB2312"/>
          <w:bCs/>
          <w:kern w:val="2"/>
          <w:sz w:val="32"/>
          <w:szCs w:val="30"/>
        </w:rPr>
        <w:t>农村公路深度通达、提档升级，乡村旅游道路建设取得明显成效，旅游景区、乡村旅游经营单位对外通行条件改善，农村公路与干线衔接，形成覆盖广泛、服务优质的农村公路网，为乡村振兴提供交通运输基础保障。</w:t>
      </w:r>
    </w:p>
    <w:p>
      <w:pPr>
        <w:pStyle w:val="61"/>
        <w:spacing w:line="540" w:lineRule="exact"/>
        <w:ind w:firstLine="643"/>
      </w:pPr>
      <w:r>
        <w:rPr>
          <w:rFonts w:hint="eastAsia"/>
          <w:b/>
        </w:rPr>
        <w:t>“十四五”</w:t>
      </w:r>
      <w:r>
        <w:rPr>
          <w:rFonts w:hint="eastAsia"/>
          <w:b/>
          <w:lang w:eastAsia="zh-CN"/>
        </w:rPr>
        <w:t>时</w:t>
      </w:r>
      <w:r>
        <w:rPr>
          <w:rFonts w:hint="eastAsia"/>
          <w:b/>
        </w:rPr>
        <w:t>期</w:t>
      </w:r>
      <w:r>
        <w:rPr>
          <w:rFonts w:hint="eastAsia"/>
        </w:rPr>
        <w:t>，实施“</w:t>
      </w:r>
      <w:r>
        <w:rPr>
          <w:rFonts w:hint="eastAsia"/>
          <w:bCs/>
        </w:rPr>
        <w:t>四好农村路”建设工程，加强农村公路建、管、养、运协调可持续发展，优化乡村旅游道路；推进县、乡、村道路全面提质升级</w:t>
      </w:r>
      <w:r>
        <w:rPr>
          <w:rFonts w:hint="eastAsia"/>
        </w:rPr>
        <w:t>，规划县道三级道路110.575公里，乡道、村道四级公路270公里（其中不低于双车道四级公路120公里，为乡道）。到“十四五”末期，三级公路达到约336.5公里，四级公路达到约1395.307公里。</w:t>
      </w:r>
    </w:p>
    <w:p>
      <w:pPr>
        <w:spacing w:line="360" w:lineRule="auto"/>
        <w:jc w:val="center"/>
        <w:rPr>
          <w:rFonts w:ascii="黑体" w:hAnsi="黑体" w:eastAsia="黑体"/>
        </w:rPr>
      </w:pPr>
      <w:r>
        <w:rPr>
          <w:rFonts w:hint="eastAsia" w:ascii="黑体" w:hAnsi="黑体" w:eastAsia="黑体"/>
        </w:rPr>
        <w:t>表7   青阳县农村公路里程到达对比表</w:t>
      </w:r>
    </w:p>
    <w:tbl>
      <w:tblPr>
        <w:tblStyle w:val="24"/>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4"/>
        <w:gridCol w:w="1314"/>
        <w:gridCol w:w="1315"/>
        <w:gridCol w:w="1315"/>
        <w:gridCol w:w="1313"/>
        <w:gridCol w:w="1313"/>
        <w:gridCol w:w="1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924"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时期</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一级公路</w:t>
            </w:r>
          </w:p>
          <w:p>
            <w:pPr>
              <w:jc w:val="center"/>
              <w:rPr>
                <w:rFonts w:ascii="仿宋" w:hAnsi="仿宋" w:eastAsia="仿宋" w:cs="宋体"/>
                <w:color w:val="000000"/>
                <w:szCs w:val="21"/>
              </w:rPr>
            </w:pPr>
            <w:r>
              <w:rPr>
                <w:rFonts w:hint="eastAsia" w:ascii="仿宋" w:hAnsi="仿宋" w:eastAsia="仿宋" w:cs="宋体"/>
                <w:color w:val="000000"/>
                <w:szCs w:val="21"/>
              </w:rPr>
              <w:t>到达量（km）</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二级公路</w:t>
            </w:r>
          </w:p>
          <w:p>
            <w:pPr>
              <w:jc w:val="center"/>
              <w:rPr>
                <w:rFonts w:ascii="仿宋" w:hAnsi="仿宋" w:eastAsia="仿宋" w:cs="宋体"/>
                <w:color w:val="000000"/>
                <w:szCs w:val="21"/>
              </w:rPr>
            </w:pPr>
            <w:r>
              <w:rPr>
                <w:rFonts w:hint="eastAsia" w:ascii="仿宋" w:hAnsi="仿宋" w:eastAsia="仿宋" w:cs="宋体"/>
                <w:color w:val="000000"/>
                <w:szCs w:val="21"/>
              </w:rPr>
              <w:t>到达量（km）</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三级公路</w:t>
            </w:r>
          </w:p>
          <w:p>
            <w:pPr>
              <w:jc w:val="center"/>
              <w:rPr>
                <w:rFonts w:ascii="仿宋" w:hAnsi="仿宋" w:eastAsia="仿宋" w:cs="宋体"/>
                <w:color w:val="000000"/>
                <w:szCs w:val="21"/>
              </w:rPr>
            </w:pPr>
            <w:r>
              <w:rPr>
                <w:rFonts w:hint="eastAsia" w:ascii="仿宋" w:hAnsi="仿宋" w:eastAsia="仿宋" w:cs="宋体"/>
                <w:color w:val="000000"/>
                <w:szCs w:val="21"/>
              </w:rPr>
              <w:t>到达量（km）</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四级公路</w:t>
            </w:r>
          </w:p>
          <w:p>
            <w:pPr>
              <w:jc w:val="center"/>
              <w:rPr>
                <w:rFonts w:ascii="仿宋" w:hAnsi="仿宋" w:eastAsia="仿宋" w:cs="宋体"/>
                <w:color w:val="000000"/>
                <w:szCs w:val="21"/>
              </w:rPr>
            </w:pPr>
            <w:r>
              <w:rPr>
                <w:rFonts w:hint="eastAsia" w:ascii="仿宋" w:hAnsi="仿宋" w:eastAsia="仿宋" w:cs="宋体"/>
                <w:color w:val="000000"/>
                <w:szCs w:val="21"/>
              </w:rPr>
              <w:t>到达量（km）</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等外公路</w:t>
            </w:r>
          </w:p>
          <w:p>
            <w:pPr>
              <w:jc w:val="center"/>
              <w:rPr>
                <w:rFonts w:ascii="仿宋" w:hAnsi="仿宋" w:eastAsia="仿宋" w:cs="宋体"/>
                <w:color w:val="000000"/>
                <w:szCs w:val="21"/>
              </w:rPr>
            </w:pPr>
            <w:r>
              <w:rPr>
                <w:rFonts w:hint="eastAsia" w:ascii="仿宋" w:hAnsi="仿宋" w:eastAsia="仿宋" w:cs="宋体"/>
                <w:color w:val="000000"/>
                <w:szCs w:val="21"/>
              </w:rPr>
              <w:t>到达量（km）</w:t>
            </w:r>
          </w:p>
        </w:tc>
        <w:tc>
          <w:tcPr>
            <w:tcW w:w="598"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总计（km）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24"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“十三五”末期</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4.084</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13.063</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156.5</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1125.307</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6.983</w:t>
            </w:r>
          </w:p>
        </w:tc>
        <w:tc>
          <w:tcPr>
            <w:tcW w:w="598"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1305.937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24"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“十四五”末期</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4.084</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13.063</w:t>
            </w:r>
          </w:p>
        </w:tc>
        <w:tc>
          <w:tcPr>
            <w:tcW w:w="696"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336.5</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1395.307</w:t>
            </w:r>
          </w:p>
        </w:tc>
        <w:tc>
          <w:tcPr>
            <w:tcW w:w="695"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0</w:t>
            </w:r>
          </w:p>
        </w:tc>
        <w:tc>
          <w:tcPr>
            <w:tcW w:w="598" w:type="pct"/>
            <w:vAlign w:val="center"/>
          </w:tcPr>
          <w:p>
            <w:pPr>
              <w:jc w:val="center"/>
              <w:rPr>
                <w:rFonts w:ascii="仿宋" w:hAnsi="仿宋" w:eastAsia="仿宋" w:cs="宋体"/>
                <w:color w:val="000000"/>
                <w:szCs w:val="21"/>
              </w:rPr>
            </w:pPr>
            <w:r>
              <w:rPr>
                <w:rFonts w:hint="eastAsia" w:ascii="仿宋" w:hAnsi="仿宋" w:eastAsia="仿宋" w:cs="宋体"/>
                <w:color w:val="000000"/>
                <w:szCs w:val="21"/>
              </w:rPr>
              <w:t>1748.954</w:t>
            </w:r>
          </w:p>
        </w:tc>
      </w:tr>
    </w:tbl>
    <w:p>
      <w:pPr>
        <w:pStyle w:val="61"/>
        <w:spacing w:line="540" w:lineRule="exact"/>
        <w:ind w:firstLine="643"/>
      </w:pPr>
      <w:r>
        <w:rPr>
          <w:rFonts w:hint="eastAsia"/>
          <w:b/>
        </w:rPr>
        <w:t>推动县乡道以及低等级农村公路的升级改造。</w:t>
      </w:r>
      <w:r>
        <w:rPr>
          <w:rFonts w:hint="eastAsia"/>
        </w:rPr>
        <w:t>因地制宜推进农村公路尤其是通客车的窄路基路面公路加宽改造，逐步实施双车道改造，同步配套建设相应交通安全设施，发挥品质路、示范路示范引领作用。结合城乡交通运输一体化，加快推进乡村综合运输服务站、便捷车站及招呼站建设。</w:t>
      </w:r>
    </w:p>
    <w:p>
      <w:pPr>
        <w:pStyle w:val="61"/>
        <w:spacing w:line="540" w:lineRule="exact"/>
        <w:ind w:firstLine="643"/>
      </w:pPr>
      <w:r>
        <w:rPr>
          <w:rFonts w:hint="eastAsia"/>
          <w:b/>
        </w:rPr>
        <w:t>推进交通运输与乡村特色产业融合发展。</w:t>
      </w:r>
      <w:r>
        <w:rPr>
          <w:rFonts w:hint="eastAsia"/>
        </w:rPr>
        <w:t>加快建设通往农业产业园、乡村旅游景区、休闲度假区、生态养殖基地、农家乐聚集地等乡村主要产业经济节点的公路。充分考虑现代农业规模化、机械化等发展需求，适当提高农村公路的建设标准。推动农村公路与乡村旅游融合发展，以旅游路建设为重点，积极拓展“运游一体”服务。</w:t>
      </w:r>
    </w:p>
    <w:p>
      <w:pPr>
        <w:pStyle w:val="61"/>
        <w:spacing w:line="540" w:lineRule="exact"/>
        <w:ind w:firstLine="643"/>
      </w:pPr>
      <w:r>
        <w:rPr>
          <w:rFonts w:hint="eastAsia"/>
          <w:b/>
        </w:rPr>
        <w:t>提升农村交通安全水平。</w:t>
      </w:r>
      <w:r>
        <w:rPr>
          <w:rFonts w:hint="eastAsia"/>
        </w:rPr>
        <w:t>以推进农村公路安全生命防护工程建设和危桥改造为抓手，对急弯陡坡、临水临崖等安全风险重点路段增设安全防护设施，加强农村公路安全隐患治理，实施危旧桥梁改造工程。加强农村交通应急救灾保障能力建设，推行农村公路灾毁保险制度。</w:t>
      </w:r>
    </w:p>
    <w:p>
      <w:pPr>
        <w:pStyle w:val="63"/>
        <w:spacing w:line="540" w:lineRule="exact"/>
        <w:ind w:firstLine="643"/>
        <w:outlineLvl w:val="3"/>
        <w:rPr>
          <w:bCs/>
        </w:rPr>
      </w:pPr>
      <w:r>
        <w:rPr>
          <w:rFonts w:hint="eastAsia"/>
        </w:rPr>
        <w:t>2、完善通用航空服务网络</w:t>
      </w:r>
    </w:p>
    <w:p>
      <w:pPr>
        <w:spacing w:line="540" w:lineRule="exact"/>
        <w:ind w:firstLine="643" w:firstLineChars="200"/>
        <w:rPr>
          <w:rFonts w:ascii="仿宋" w:hAnsi="仿宋" w:eastAsia="仿宋" w:cs="仿宋_GB2312"/>
          <w:kern w:val="2"/>
          <w:sz w:val="32"/>
          <w:szCs w:val="30"/>
        </w:rPr>
      </w:pPr>
      <w:r>
        <w:rPr>
          <w:rFonts w:hint="eastAsia" w:ascii="仿宋" w:hAnsi="仿宋" w:eastAsia="仿宋" w:cs="仿宋_GB2312"/>
          <w:b/>
          <w:kern w:val="2"/>
          <w:sz w:val="32"/>
          <w:szCs w:val="30"/>
        </w:rPr>
        <w:t>锚定2035年</w:t>
      </w:r>
      <w:r>
        <w:rPr>
          <w:rFonts w:hint="eastAsia" w:ascii="仿宋" w:hAnsi="仿宋" w:eastAsia="仿宋" w:cs="仿宋_GB2312"/>
          <w:kern w:val="2"/>
          <w:sz w:val="32"/>
          <w:szCs w:val="30"/>
        </w:rPr>
        <w:t>，建成青阳县通用机场，构成枢纽机场与支线机场相衔接，集观光、旅行、体验、应急响应于一体的航空体系，配合支撑“一主四环”世界旅游目的地、皖南国际文化旅游示范区的发展。</w:t>
      </w:r>
    </w:p>
    <w:p>
      <w:pPr>
        <w:spacing w:line="540" w:lineRule="exact"/>
        <w:ind w:firstLine="643" w:firstLineChars="200"/>
        <w:rPr>
          <w:rFonts w:ascii="仿宋" w:hAnsi="仿宋" w:eastAsia="仿宋" w:cs="仿宋_GB2312"/>
          <w:kern w:val="2"/>
          <w:sz w:val="32"/>
          <w:szCs w:val="30"/>
        </w:rPr>
      </w:pPr>
      <w:r>
        <w:rPr>
          <w:rFonts w:hint="eastAsia" w:ascii="仿宋" w:hAnsi="仿宋" w:eastAsia="仿宋" w:cs="仿宋_GB2312"/>
          <w:b/>
          <w:kern w:val="2"/>
          <w:sz w:val="32"/>
          <w:szCs w:val="30"/>
        </w:rPr>
        <w:t>“十四五”</w:t>
      </w:r>
      <w:r>
        <w:rPr>
          <w:rFonts w:hint="eastAsia" w:ascii="仿宋" w:hAnsi="仿宋" w:eastAsia="仿宋" w:cs="仿宋_GB2312"/>
          <w:b/>
          <w:kern w:val="2"/>
          <w:sz w:val="32"/>
          <w:szCs w:val="30"/>
          <w:lang w:eastAsia="zh-CN"/>
        </w:rPr>
        <w:t>时</w:t>
      </w:r>
      <w:r>
        <w:rPr>
          <w:rFonts w:hint="eastAsia" w:ascii="仿宋" w:hAnsi="仿宋" w:eastAsia="仿宋" w:cs="仿宋_GB2312"/>
          <w:b/>
          <w:kern w:val="2"/>
          <w:sz w:val="32"/>
          <w:szCs w:val="30"/>
        </w:rPr>
        <w:t>期</w:t>
      </w:r>
      <w:r>
        <w:rPr>
          <w:rFonts w:hint="eastAsia" w:ascii="仿宋" w:hAnsi="仿宋" w:eastAsia="仿宋" w:cs="仿宋_GB2312"/>
          <w:kern w:val="2"/>
          <w:sz w:val="32"/>
          <w:szCs w:val="30"/>
        </w:rPr>
        <w:t>，统筹推进通用机场及配套基础设施建设，力争开工建设</w:t>
      </w:r>
      <w:r>
        <w:rPr>
          <w:rFonts w:ascii="仿宋" w:hAnsi="仿宋" w:eastAsia="仿宋" w:cs="仿宋_GB2312"/>
          <w:kern w:val="2"/>
          <w:sz w:val="32"/>
          <w:szCs w:val="30"/>
        </w:rPr>
        <w:t>青阳通用机场</w:t>
      </w:r>
      <w:r>
        <w:rPr>
          <w:rFonts w:hint="eastAsia" w:ascii="仿宋" w:hAnsi="仿宋" w:eastAsia="仿宋" w:cs="仿宋_GB2312"/>
          <w:kern w:val="2"/>
          <w:sz w:val="32"/>
          <w:szCs w:val="30"/>
        </w:rPr>
        <w:t>，完善通用机场体系，增设和完善通用航空设施，兼顾通用航空服务和保障。</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360" w:lineRule="auto"/>
              <w:jc w:val="center"/>
              <w:rPr>
                <w:rFonts w:ascii="楷体" w:hAnsi="楷体" w:eastAsia="楷体"/>
                <w:b/>
              </w:rPr>
            </w:pPr>
            <w:r>
              <w:rPr>
                <w:rFonts w:hint="eastAsia" w:ascii="楷体" w:hAnsi="楷体" w:eastAsia="楷体"/>
                <w:b/>
              </w:rPr>
              <w:t>专栏5 通用</w:t>
            </w:r>
            <w:r>
              <w:rPr>
                <w:rFonts w:ascii="楷体" w:hAnsi="楷体" w:eastAsia="楷体"/>
                <w:b/>
              </w:rPr>
              <w:t>机场</w:t>
            </w:r>
            <w:r>
              <w:rPr>
                <w:rFonts w:hint="eastAsia" w:ascii="楷体" w:hAnsi="楷体" w:eastAsia="楷体"/>
                <w:b/>
              </w:rPr>
              <w:t>重点建设项目</w:t>
            </w:r>
          </w:p>
          <w:p>
            <w:pPr>
              <w:spacing w:line="360" w:lineRule="auto"/>
              <w:ind w:firstLine="482" w:firstLineChars="200"/>
              <w:rPr>
                <w:rFonts w:ascii="楷体" w:hAnsi="楷体" w:eastAsia="楷体"/>
              </w:rPr>
            </w:pPr>
            <w:r>
              <w:rPr>
                <w:rFonts w:ascii="楷体" w:hAnsi="楷体" w:eastAsia="楷体"/>
                <w:b/>
              </w:rPr>
              <w:t>青阳通用机场</w:t>
            </w:r>
            <w:r>
              <w:rPr>
                <w:rFonts w:hint="eastAsia" w:ascii="楷体" w:hAnsi="楷体" w:eastAsia="楷体"/>
                <w:b/>
              </w:rPr>
              <w:t>：</w:t>
            </w:r>
            <w:r>
              <w:rPr>
                <w:rFonts w:hint="eastAsia" w:ascii="楷体" w:hAnsi="楷体" w:eastAsia="楷体"/>
              </w:rPr>
              <w:t>A2 级通用机场：占地 500 亩，新建一条 1200米跑道，站坪，综合楼（含候机、塔台、航管、后勤保障中心等），机库，以及空管、助航灯光、供水、供电、消防等配套设施。</w:t>
            </w:r>
          </w:p>
        </w:tc>
      </w:tr>
    </w:tbl>
    <w:p>
      <w:pPr>
        <w:pStyle w:val="57"/>
        <w:ind w:firstLine="640"/>
      </w:pPr>
      <w:bookmarkStart w:id="21" w:name="_Toc97394573"/>
      <w:bookmarkStart w:id="22" w:name="_Toc104537495"/>
      <w:r>
        <w:rPr>
          <w:rFonts w:hint="eastAsia"/>
        </w:rPr>
        <w:t>二、运输服务优质高效</w:t>
      </w:r>
      <w:bookmarkEnd w:id="21"/>
      <w:bookmarkEnd w:id="22"/>
    </w:p>
    <w:p>
      <w:pPr>
        <w:pStyle w:val="61"/>
        <w:spacing w:line="540" w:lineRule="exact"/>
        <w:ind w:firstLine="640"/>
      </w:pPr>
      <w:r>
        <w:rPr>
          <w:rFonts w:hint="eastAsia"/>
        </w:rPr>
        <w:t>“十四五”</w:t>
      </w:r>
      <w:r>
        <w:rPr>
          <w:rFonts w:hint="eastAsia"/>
          <w:lang w:eastAsia="zh-CN"/>
        </w:rPr>
        <w:t>时</w:t>
      </w:r>
      <w:r>
        <w:rPr>
          <w:rFonts w:hint="eastAsia"/>
        </w:rPr>
        <w:t>期，以一体高效的枢纽体系为支撑，以构建高品质的客运服务体系和经济高效的货运物流体系为重点，不断提升综合运输服务水平。</w:t>
      </w:r>
    </w:p>
    <w:p>
      <w:pPr>
        <w:pStyle w:val="59"/>
        <w:ind w:firstLine="640"/>
        <w:rPr>
          <w:rFonts w:hint="eastAsia" w:ascii="楷体_GB2312" w:hAnsi="楷体_GB2312" w:eastAsia="楷体_GB2312" w:cs="楷体_GB2312"/>
          <w:b/>
          <w:bCs w:val="0"/>
        </w:rPr>
      </w:pPr>
      <w:bookmarkStart w:id="23" w:name="_Toc104537496"/>
      <w:bookmarkStart w:id="24" w:name="_Toc97394574"/>
      <w:r>
        <w:rPr>
          <w:rFonts w:hint="eastAsia" w:ascii="楷体_GB2312" w:hAnsi="楷体_GB2312" w:eastAsia="楷体_GB2312" w:cs="楷体_GB2312"/>
          <w:b/>
          <w:bCs w:val="0"/>
        </w:rPr>
        <w:t>（一）构筑一体高效的客运枢纽体系</w:t>
      </w:r>
      <w:bookmarkEnd w:id="23"/>
      <w:bookmarkEnd w:id="24"/>
    </w:p>
    <w:p>
      <w:pPr>
        <w:pStyle w:val="61"/>
        <w:spacing w:line="540" w:lineRule="exact"/>
        <w:ind w:firstLine="643"/>
      </w:pPr>
      <w:r>
        <w:rPr>
          <w:b/>
        </w:rPr>
        <w:t>打造一体衔接的综合客运枢纽</w:t>
      </w:r>
      <w:r>
        <w:rPr>
          <w:rFonts w:hint="eastAsia"/>
          <w:b/>
        </w:rPr>
        <w:t>。</w:t>
      </w:r>
      <w:r>
        <w:rPr>
          <w:rFonts w:hint="eastAsia"/>
        </w:rPr>
        <w:t>优化综合客运枢纽布局。“十四五”</w:t>
      </w:r>
      <w:r>
        <w:rPr>
          <w:rFonts w:hint="eastAsia"/>
          <w:lang w:eastAsia="zh-CN"/>
        </w:rPr>
        <w:t>时</w:t>
      </w:r>
      <w:r>
        <w:rPr>
          <w:rFonts w:hint="eastAsia"/>
        </w:rPr>
        <w:t>期，推进青阳县高铁交通综合枢纽项目建设，着力实现站场功能的多元化发展；结合城乡道路客运一体化发展和城市公共交通服务延伸，建设青阳综合客运枢纽站、朱备旅游客运站，鼓励客运站场与物流、快递业务之间的合作，推动客运场站综合开发、拓展客运场站商贸、旅游服务等功能有效整合。</w:t>
      </w:r>
    </w:p>
    <w:p>
      <w:pPr>
        <w:pStyle w:val="61"/>
        <w:spacing w:line="540" w:lineRule="exact"/>
        <w:ind w:firstLine="643"/>
      </w:pPr>
      <w:r>
        <w:rPr>
          <w:rFonts w:hint="eastAsia"/>
          <w:b/>
          <w:bCs/>
        </w:rPr>
        <w:t>提升客运枢纽一体化衔接水平</w:t>
      </w:r>
      <w:r>
        <w:rPr>
          <w:rFonts w:hint="eastAsia"/>
        </w:rPr>
        <w:t>。按照“统一规划、一体设计、同步建设、同期运营、协同管理”原则，推动不同交通方式站场集中布局、空间共享、立体或同台换乘；完善国省干线服务设施和农村公路节点设施建设、功能改善和整合提升，持续推动不同交通方式客运站一体化衔接。</w:t>
      </w:r>
    </w:p>
    <w:tbl>
      <w:tblPr>
        <w:tblStyle w:val="24"/>
        <w:tblW w:w="85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8500" w:type="dxa"/>
          </w:tcPr>
          <w:p>
            <w:pPr>
              <w:spacing w:line="360" w:lineRule="auto"/>
              <w:jc w:val="center"/>
              <w:rPr>
                <w:rFonts w:ascii="楷体" w:hAnsi="楷体" w:eastAsia="楷体"/>
                <w:b/>
              </w:rPr>
            </w:pPr>
            <w:r>
              <w:rPr>
                <w:rFonts w:hint="eastAsia" w:ascii="楷体" w:hAnsi="楷体" w:eastAsia="楷体"/>
                <w:b/>
              </w:rPr>
              <w:t>专栏6</w:t>
            </w:r>
            <w:r>
              <w:rPr>
                <w:rFonts w:ascii="楷体" w:hAnsi="楷体" w:eastAsia="楷体"/>
                <w:b/>
              </w:rPr>
              <w:t xml:space="preserve"> </w:t>
            </w:r>
            <w:r>
              <w:rPr>
                <w:rFonts w:hint="eastAsia" w:ascii="楷体" w:hAnsi="楷体" w:eastAsia="楷体"/>
                <w:b/>
              </w:rPr>
              <w:t>交通枢纽重点</w:t>
            </w:r>
            <w:r>
              <w:rPr>
                <w:rFonts w:ascii="楷体" w:hAnsi="楷体" w:eastAsia="楷体"/>
                <w:b/>
              </w:rPr>
              <w:t>工程</w:t>
            </w:r>
          </w:p>
          <w:p>
            <w:pPr>
              <w:adjustRightInd w:val="0"/>
              <w:snapToGrid w:val="0"/>
              <w:spacing w:line="360" w:lineRule="auto"/>
              <w:ind w:firstLine="482" w:firstLineChars="200"/>
              <w:rPr>
                <w:rFonts w:ascii="楷体" w:hAnsi="楷体" w:eastAsia="楷体"/>
              </w:rPr>
            </w:pPr>
            <w:r>
              <w:rPr>
                <w:rFonts w:hint="eastAsia" w:ascii="楷体" w:hAnsi="楷体" w:eastAsia="楷体"/>
                <w:b/>
              </w:rPr>
              <w:t>青阳县高铁交通综合枢纽：</w:t>
            </w:r>
            <w:r>
              <w:rPr>
                <w:rFonts w:hint="eastAsia" w:ascii="楷体" w:hAnsi="楷体" w:eastAsia="楷体"/>
              </w:rPr>
              <w:t>设计能力 1.0 万人/日，占地约 500 亩。</w:t>
            </w:r>
          </w:p>
          <w:p>
            <w:pPr>
              <w:adjustRightInd w:val="0"/>
              <w:snapToGrid w:val="0"/>
              <w:spacing w:line="360" w:lineRule="auto"/>
              <w:ind w:firstLine="482" w:firstLineChars="200"/>
              <w:rPr>
                <w:rFonts w:ascii="楷体" w:hAnsi="楷体" w:eastAsia="楷体"/>
              </w:rPr>
            </w:pPr>
            <w:r>
              <w:rPr>
                <w:rFonts w:hint="eastAsia" w:ascii="楷体" w:hAnsi="楷体" w:eastAsia="楷体"/>
                <w:b/>
              </w:rPr>
              <w:t>青阳综合客运枢纽</w:t>
            </w:r>
            <w:r>
              <w:rPr>
                <w:rFonts w:ascii="楷体" w:hAnsi="楷体" w:eastAsia="楷体"/>
                <w:b/>
              </w:rPr>
              <w:t>站</w:t>
            </w:r>
            <w:r>
              <w:rPr>
                <w:rFonts w:hint="eastAsia" w:ascii="楷体" w:hAnsi="楷体" w:eastAsia="楷体"/>
                <w:b/>
              </w:rPr>
              <w:t>：</w:t>
            </w:r>
            <w:r>
              <w:rPr>
                <w:rFonts w:hint="eastAsia" w:ascii="楷体" w:hAnsi="楷体" w:eastAsia="楷体"/>
              </w:rPr>
              <w:t>占地面积 66600 平方米，设计能力 1 万人/日。</w:t>
            </w:r>
          </w:p>
          <w:p>
            <w:pPr>
              <w:adjustRightInd w:val="0"/>
              <w:snapToGrid w:val="0"/>
              <w:spacing w:line="360" w:lineRule="auto"/>
              <w:ind w:firstLine="482" w:firstLineChars="200"/>
              <w:rPr>
                <w:rFonts w:ascii="楷体" w:hAnsi="楷体" w:eastAsia="楷体"/>
              </w:rPr>
            </w:pPr>
            <w:r>
              <w:rPr>
                <w:rFonts w:hint="eastAsia" w:ascii="楷体" w:hAnsi="楷体" w:eastAsia="楷体"/>
                <w:b/>
              </w:rPr>
              <w:t>朱备旅游客运枢纽</w:t>
            </w:r>
            <w:r>
              <w:rPr>
                <w:rFonts w:ascii="楷体" w:hAnsi="楷体" w:eastAsia="楷体"/>
                <w:b/>
              </w:rPr>
              <w:t>站</w:t>
            </w:r>
            <w:r>
              <w:rPr>
                <w:rFonts w:hint="eastAsia" w:ascii="楷体" w:hAnsi="楷体" w:eastAsia="楷体"/>
                <w:b/>
              </w:rPr>
              <w:t>：</w:t>
            </w:r>
            <w:r>
              <w:rPr>
                <w:rFonts w:hint="eastAsia" w:ascii="楷体" w:hAnsi="楷体" w:eastAsia="楷体"/>
              </w:rPr>
              <w:t>拟采用二级站标准，项目建设内容包括客运发车位、停车场等客运服务设施及辅助设施。</w:t>
            </w:r>
          </w:p>
        </w:tc>
      </w:tr>
    </w:tbl>
    <w:p>
      <w:pPr>
        <w:pStyle w:val="59"/>
        <w:ind w:firstLine="640"/>
        <w:rPr>
          <w:rFonts w:hint="eastAsia" w:ascii="楷体_GB2312" w:hAnsi="楷体_GB2312" w:eastAsia="楷体_GB2312" w:cs="楷体_GB2312"/>
          <w:b/>
          <w:bCs w:val="0"/>
        </w:rPr>
      </w:pPr>
      <w:bookmarkStart w:id="25" w:name="_Toc47702946"/>
      <w:bookmarkStart w:id="26" w:name="_Toc97394575"/>
      <w:bookmarkStart w:id="27" w:name="_Toc104537497"/>
      <w:bookmarkStart w:id="28" w:name="_Toc48035562"/>
      <w:r>
        <w:rPr>
          <w:rFonts w:hint="eastAsia" w:ascii="楷体_GB2312" w:hAnsi="楷体_GB2312" w:eastAsia="楷体_GB2312" w:cs="楷体_GB2312"/>
          <w:b/>
          <w:bCs w:val="0"/>
        </w:rPr>
        <w:t>（二）构建便捷舒适的客运服务体系</w:t>
      </w:r>
      <w:bookmarkEnd w:id="25"/>
      <w:bookmarkEnd w:id="26"/>
      <w:bookmarkEnd w:id="27"/>
      <w:bookmarkEnd w:id="28"/>
    </w:p>
    <w:p>
      <w:pPr>
        <w:pStyle w:val="61"/>
        <w:spacing w:line="540" w:lineRule="exact"/>
        <w:ind w:firstLine="643"/>
        <w:rPr>
          <w:b/>
          <w:bCs/>
        </w:rPr>
      </w:pPr>
      <w:r>
        <w:rPr>
          <w:rFonts w:hint="eastAsia"/>
          <w:b/>
          <w:bCs/>
        </w:rPr>
        <w:t>构建以绿色出行为理念的城市出行服务体系。</w:t>
      </w:r>
      <w:r>
        <w:rPr>
          <w:rFonts w:hint="eastAsia"/>
          <w:bCs/>
        </w:rPr>
        <w:t>深化推进绿色出行行动计划。引导“以公共交通为导向”的城市公共交通发展模式，优先发展城市公共交通。大力发展共享交通，巩固“优先发展公共交通示范城市”建设成果。到2025年形成以公共汽（电）车为主体，出租车等其他公共交通方式为补充的城市公共交通系统。</w:t>
      </w:r>
    </w:p>
    <w:p>
      <w:pPr>
        <w:pStyle w:val="61"/>
        <w:spacing w:line="540" w:lineRule="exact"/>
        <w:ind w:firstLine="643"/>
        <w:rPr>
          <w:bCs/>
        </w:rPr>
      </w:pPr>
      <w:r>
        <w:rPr>
          <w:rFonts w:hint="eastAsia"/>
          <w:b/>
          <w:bCs/>
        </w:rPr>
        <w:t>构建以基本公共服务均等化为核心的城乡出行服务体系。</w:t>
      </w:r>
      <w:r>
        <w:rPr>
          <w:rFonts w:hint="eastAsia"/>
          <w:bCs/>
        </w:rPr>
        <w:t>稳步推进城乡交通运输一体化发展，巩固“城乡道路客运一体化示范县”成果，更新新能源车，建设智能站牌、公交首末站场、充电桩，建成完善的城乡客运线网结构，健全交通运输一体化运营保障机制。</w:t>
      </w:r>
    </w:p>
    <w:tbl>
      <w:tblPr>
        <w:tblStyle w:val="24"/>
        <w:tblW w:w="82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296" w:type="dxa"/>
          </w:tcPr>
          <w:p>
            <w:pPr>
              <w:spacing w:line="360" w:lineRule="auto"/>
              <w:jc w:val="center"/>
              <w:rPr>
                <w:rFonts w:ascii="楷体" w:hAnsi="楷体" w:eastAsia="楷体"/>
                <w:b/>
              </w:rPr>
            </w:pPr>
            <w:r>
              <w:rPr>
                <w:rFonts w:hint="eastAsia" w:ascii="楷体" w:hAnsi="楷体" w:eastAsia="楷体"/>
                <w:b/>
              </w:rPr>
              <w:t>专栏7 客运服务品质提升工程</w:t>
            </w:r>
          </w:p>
          <w:p>
            <w:pPr>
              <w:spacing w:line="360" w:lineRule="auto"/>
              <w:ind w:firstLine="480" w:firstLineChars="200"/>
              <w:rPr>
                <w:rFonts w:ascii="楷体" w:hAnsi="楷体" w:eastAsia="楷体"/>
              </w:rPr>
            </w:pPr>
            <w:r>
              <w:rPr>
                <w:rFonts w:hint="eastAsia" w:ascii="楷体" w:hAnsi="楷体" w:eastAsia="楷体"/>
              </w:rPr>
              <w:t>对城区现有1、2、3、4、5路公交进行线路升级，新能源公交采购及配套设施建设。</w:t>
            </w:r>
          </w:p>
          <w:p>
            <w:pPr>
              <w:spacing w:line="360" w:lineRule="auto"/>
              <w:ind w:firstLine="480" w:firstLineChars="200"/>
              <w:rPr>
                <w:rFonts w:ascii="楷体" w:hAnsi="楷体" w:eastAsia="楷体"/>
              </w:rPr>
            </w:pPr>
            <w:r>
              <w:rPr>
                <w:rFonts w:hint="eastAsia" w:ascii="楷体" w:hAnsi="楷体" w:eastAsia="楷体"/>
              </w:rPr>
              <w:t>新建1个公交首末站，改造1个现有公交首末站，配套20个充电桩设施，</w:t>
            </w:r>
            <w:r>
              <w:rPr>
                <w:rFonts w:ascii="楷体" w:hAnsi="楷体" w:eastAsia="楷体"/>
              </w:rPr>
              <w:t>新增</w:t>
            </w:r>
            <w:r>
              <w:rPr>
                <w:rFonts w:hint="eastAsia" w:ascii="楷体" w:hAnsi="楷体" w:eastAsia="楷体"/>
              </w:rPr>
              <w:t>公交亭40对。</w:t>
            </w:r>
          </w:p>
        </w:tc>
      </w:tr>
    </w:tbl>
    <w:p>
      <w:pPr>
        <w:pStyle w:val="59"/>
        <w:ind w:firstLine="640"/>
        <w:rPr>
          <w:rFonts w:hint="eastAsia" w:ascii="楷体_GB2312" w:hAnsi="楷体_GB2312" w:eastAsia="楷体_GB2312" w:cs="楷体_GB2312"/>
          <w:b/>
          <w:bCs w:val="0"/>
        </w:rPr>
      </w:pPr>
      <w:bookmarkStart w:id="29" w:name="_Toc104537498"/>
      <w:bookmarkStart w:id="30" w:name="_Toc97394576"/>
      <w:bookmarkStart w:id="31" w:name="_Toc48035563"/>
      <w:bookmarkStart w:id="32" w:name="_Toc47702947"/>
      <w:r>
        <w:rPr>
          <w:rFonts w:hint="eastAsia" w:ascii="楷体_GB2312" w:hAnsi="楷体_GB2312" w:eastAsia="楷体_GB2312" w:cs="楷体_GB2312"/>
          <w:b/>
          <w:bCs w:val="0"/>
        </w:rPr>
        <w:t>（三）构建经济高效的货运物流体系</w:t>
      </w:r>
      <w:bookmarkEnd w:id="29"/>
      <w:bookmarkEnd w:id="30"/>
      <w:bookmarkEnd w:id="31"/>
      <w:bookmarkEnd w:id="32"/>
    </w:p>
    <w:p>
      <w:pPr>
        <w:pStyle w:val="61"/>
        <w:spacing w:line="540" w:lineRule="exact"/>
        <w:ind w:firstLine="643"/>
        <w:rPr>
          <w:b/>
        </w:rPr>
      </w:pPr>
      <w:r>
        <w:rPr>
          <w:b/>
        </w:rPr>
        <w:t>打造运输高效的</w:t>
      </w:r>
      <w:r>
        <w:rPr>
          <w:rFonts w:hint="eastAsia"/>
          <w:b/>
        </w:rPr>
        <w:t>货运枢纽。</w:t>
      </w:r>
      <w:r>
        <w:rPr>
          <w:rFonts w:hint="eastAsia"/>
        </w:rPr>
        <w:t>规划建设青阳县综合物流园区，依托童埠港，加快港区配套物流建设，整合港口资源，提升港区综合物流功能，</w:t>
      </w:r>
      <w:r>
        <w:t>形成以综合</w:t>
      </w:r>
      <w:r>
        <w:rPr>
          <w:rFonts w:hint="eastAsia"/>
        </w:rPr>
        <w:t>园区</w:t>
      </w:r>
      <w:r>
        <w:t>为中心，公路、铁路、航空、水运各行业场站为节点，布局合理、功能完备、多种运输方式相互衔接的枢纽场站体系。</w:t>
      </w:r>
    </w:p>
    <w:p>
      <w:pPr>
        <w:pStyle w:val="61"/>
        <w:spacing w:line="540" w:lineRule="exact"/>
        <w:ind w:firstLine="643"/>
        <w:rPr>
          <w:bCs/>
        </w:rPr>
      </w:pPr>
      <w:r>
        <w:rPr>
          <w:rFonts w:hint="eastAsia"/>
          <w:b/>
          <w:bCs/>
        </w:rPr>
        <w:t>深化运输结构调整。</w:t>
      </w:r>
      <w:r>
        <w:rPr>
          <w:rFonts w:hint="eastAsia"/>
          <w:bCs/>
        </w:rPr>
        <w:t>优化货运组织化水平，推动货运物流“降本增效”。大力推进 “公转水”，推动港口</w:t>
      </w:r>
      <w:r>
        <w:rPr>
          <w:rFonts w:hint="eastAsia" w:cs="仿宋"/>
          <w:szCs w:val="32"/>
        </w:rPr>
        <w:t>联运配套码头等设施技术改造，提高长江干线水运与内河航道运输的衔接效率。</w:t>
      </w:r>
      <w:r>
        <w:rPr>
          <w:rFonts w:hint="eastAsia"/>
          <w:bCs/>
        </w:rPr>
        <w:t>大力推进“公转铁”加快铁路专用线建设进度，实现铁路干线运输与重要港口、大型工矿企业、物流园区等的高效联通，推动中长距离货物运输由公路转移至铁路。</w:t>
      </w:r>
    </w:p>
    <w:p>
      <w:pPr>
        <w:pStyle w:val="61"/>
        <w:spacing w:line="540" w:lineRule="exact"/>
        <w:ind w:firstLine="643"/>
        <w:rPr>
          <w:bCs/>
        </w:rPr>
      </w:pPr>
      <w:r>
        <w:rPr>
          <w:rFonts w:hint="eastAsia"/>
          <w:b/>
          <w:bCs/>
        </w:rPr>
        <w:t>推动专业物流创新发展。</w:t>
      </w:r>
      <w:r>
        <w:rPr>
          <w:rFonts w:hint="eastAsia"/>
          <w:bCs/>
        </w:rPr>
        <w:t>在港区、铁路等货运枢纽优先发展集装箱运输车辆，持续推进并完善集装箱码头建设，推动港口专业化物流及现代服务业发展。</w:t>
      </w:r>
    </w:p>
    <w:p>
      <w:pPr>
        <w:pStyle w:val="61"/>
        <w:spacing w:line="540" w:lineRule="exact"/>
        <w:ind w:firstLine="643"/>
        <w:rPr>
          <w:bCs/>
          <w:strike/>
        </w:rPr>
      </w:pPr>
      <w:r>
        <w:rPr>
          <w:rFonts w:hint="eastAsia"/>
          <w:b/>
          <w:bCs/>
        </w:rPr>
        <w:t>提升农村物流服务水平。</w:t>
      </w:r>
      <w:r>
        <w:rPr>
          <w:rFonts w:hint="eastAsia"/>
          <w:bCs/>
        </w:rPr>
        <w:t>建设乡村物流三级网络节点体系，确定县、乡、村三级农村物流节点的数量、布局、规模、功能。推广城乡“交通客货邮”融合发展模式，打造公交客运站点、物流中转站点和扶贫驿站点、电商服务中心（点）等“交通+”“三站合一”和“多点合一”模式，推动农村交通、实体经济、互联网融合发展。</w:t>
      </w:r>
    </w:p>
    <w:tbl>
      <w:tblPr>
        <w:tblStyle w:val="24"/>
        <w:tblW w:w="82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296" w:type="dxa"/>
          </w:tcPr>
          <w:p>
            <w:pPr>
              <w:spacing w:line="360" w:lineRule="auto"/>
              <w:jc w:val="center"/>
              <w:rPr>
                <w:rFonts w:ascii="楷体" w:hAnsi="楷体" w:eastAsia="楷体"/>
                <w:b/>
              </w:rPr>
            </w:pPr>
            <w:r>
              <w:rPr>
                <w:rFonts w:hint="eastAsia" w:ascii="楷体" w:hAnsi="楷体" w:eastAsia="楷体"/>
                <w:b/>
              </w:rPr>
              <w:t>专栏8 货运物流服务增效工程</w:t>
            </w:r>
          </w:p>
          <w:p>
            <w:pPr>
              <w:spacing w:line="360" w:lineRule="auto"/>
              <w:ind w:firstLine="480" w:firstLineChars="200"/>
              <w:rPr>
                <w:rFonts w:ascii="楷体" w:hAnsi="楷体" w:eastAsia="楷体"/>
              </w:rPr>
            </w:pPr>
            <w:r>
              <w:rPr>
                <w:rFonts w:hint="eastAsia" w:ascii="楷体" w:hAnsi="楷体" w:eastAsia="楷体"/>
              </w:rPr>
              <w:t>青阳县综合物流园区：位于青阳县城东侧G318和G330交界处，占地约300亩，拟建设大型货车停车场、仓储配货功能区、办公楼及配套设施、厂区、餐饮酒店等。</w:t>
            </w:r>
          </w:p>
          <w:p>
            <w:pPr>
              <w:spacing w:line="360" w:lineRule="auto"/>
              <w:ind w:firstLine="480" w:firstLineChars="200"/>
              <w:rPr>
                <w:rFonts w:ascii="楷体" w:hAnsi="楷体" w:eastAsia="楷体"/>
              </w:rPr>
            </w:pPr>
            <w:r>
              <w:rPr>
                <w:rFonts w:hint="eastAsia" w:ascii="楷体" w:hAnsi="楷体" w:eastAsia="楷体"/>
              </w:rPr>
              <w:t>1个县级中心、10 个乡镇综合服务站、100 个村级综合服务点；县域内物流配送中心和乡村三级物流配送体系。</w:t>
            </w:r>
          </w:p>
        </w:tc>
      </w:tr>
    </w:tbl>
    <w:p>
      <w:pPr>
        <w:pStyle w:val="59"/>
        <w:ind w:firstLine="640"/>
        <w:rPr>
          <w:rFonts w:hint="eastAsia" w:ascii="楷体_GB2312" w:hAnsi="楷体_GB2312" w:eastAsia="楷体_GB2312" w:cs="楷体_GB2312"/>
          <w:b/>
          <w:bCs w:val="0"/>
        </w:rPr>
      </w:pPr>
      <w:bookmarkStart w:id="33" w:name="_Toc97394577"/>
      <w:bookmarkStart w:id="34" w:name="_Toc104537499"/>
      <w:r>
        <w:rPr>
          <w:rFonts w:hint="eastAsia" w:ascii="楷体_GB2312" w:hAnsi="楷体_GB2312" w:eastAsia="楷体_GB2312" w:cs="楷体_GB2312"/>
          <w:b/>
          <w:bCs w:val="0"/>
        </w:rPr>
        <w:t>（四）构建高效畅联的邮政快递体系</w:t>
      </w:r>
      <w:bookmarkEnd w:id="33"/>
      <w:bookmarkEnd w:id="34"/>
    </w:p>
    <w:p>
      <w:pPr>
        <w:widowControl w:val="0"/>
        <w:snapToGrid w:val="0"/>
        <w:spacing w:line="540" w:lineRule="exact"/>
        <w:ind w:firstLine="643" w:firstLineChars="200"/>
        <w:jc w:val="both"/>
        <w:rPr>
          <w:rFonts w:ascii="楷体_GB2312" w:hAnsi="楷体_GB2312" w:eastAsia="楷体_GB2312" w:cs="楷体_GB2312"/>
          <w:b/>
          <w:bCs/>
          <w:sz w:val="32"/>
          <w:szCs w:val="32"/>
        </w:rPr>
      </w:pPr>
      <w:r>
        <w:rPr>
          <w:rFonts w:hint="eastAsia" w:ascii="仿宋" w:hAnsi="仿宋" w:eastAsia="仿宋" w:cs="仿宋_GB2312"/>
          <w:b/>
          <w:bCs/>
          <w:kern w:val="2"/>
          <w:sz w:val="32"/>
          <w:szCs w:val="30"/>
        </w:rPr>
        <w:t>加强基础设施网络建设。</w:t>
      </w:r>
      <w:r>
        <w:rPr>
          <w:rFonts w:hint="eastAsia" w:ascii="仿宋" w:hAnsi="仿宋" w:eastAsia="仿宋" w:cs="仿宋_GB2312"/>
          <w:bCs/>
          <w:kern w:val="2"/>
          <w:sz w:val="32"/>
          <w:szCs w:val="30"/>
        </w:rPr>
        <w:t>加强智慧快递物流园区建设，统筹优化完善场内与场外道路设施，强化末端综合服务能力建设，优化城市服务网络，推广快递末端公共化、平台化、集约化服务。</w:t>
      </w:r>
    </w:p>
    <w:p>
      <w:pPr>
        <w:widowControl w:val="0"/>
        <w:snapToGrid w:val="0"/>
        <w:spacing w:line="540" w:lineRule="exact"/>
        <w:ind w:firstLine="643" w:firstLineChars="200"/>
        <w:jc w:val="both"/>
        <w:rPr>
          <w:rFonts w:ascii="仿宋_GB2312" w:hAnsi="华文仿宋" w:eastAsia="仿宋_GB2312"/>
          <w:sz w:val="32"/>
          <w:szCs w:val="32"/>
        </w:rPr>
      </w:pPr>
      <w:r>
        <w:rPr>
          <w:rFonts w:hint="eastAsia" w:ascii="仿宋" w:hAnsi="仿宋" w:eastAsia="仿宋" w:cs="仿宋_GB2312"/>
          <w:b/>
          <w:bCs/>
          <w:kern w:val="2"/>
          <w:sz w:val="32"/>
          <w:szCs w:val="30"/>
        </w:rPr>
        <w:t>强化县乡村网络服务体系。</w:t>
      </w:r>
      <w:r>
        <w:rPr>
          <w:rFonts w:hint="eastAsia" w:ascii="仿宋" w:hAnsi="仿宋" w:eastAsia="仿宋" w:cs="仿宋_GB2312"/>
          <w:bCs/>
          <w:kern w:val="2"/>
          <w:sz w:val="32"/>
          <w:szCs w:val="30"/>
        </w:rPr>
        <w:t>支持快递企业与县级公路客运站合作，推动乡镇以下网络设施资源共享，结合当地特色农产品，深化农产品产销运合作，进一步畅通农产品上行和消费品下行的电商快递渠道。</w:t>
      </w:r>
    </w:p>
    <w:p>
      <w:pPr>
        <w:widowControl w:val="0"/>
        <w:snapToGrid w:val="0"/>
        <w:spacing w:line="540" w:lineRule="exact"/>
        <w:ind w:firstLine="640" w:firstLineChars="200"/>
        <w:rPr>
          <w:rFonts w:ascii="仿宋" w:hAnsi="仿宋" w:eastAsia="仿宋" w:cs="仿宋_GB2312"/>
          <w:bCs/>
          <w:kern w:val="2"/>
          <w:sz w:val="32"/>
          <w:szCs w:val="30"/>
        </w:rPr>
      </w:pPr>
      <w:r>
        <w:rPr>
          <w:rFonts w:hint="eastAsia" w:ascii="仿宋" w:hAnsi="仿宋" w:eastAsia="仿宋" w:cs="仿宋_GB2312"/>
          <w:bCs/>
          <w:kern w:val="2"/>
          <w:sz w:val="32"/>
          <w:szCs w:val="30"/>
        </w:rPr>
        <w:t>到</w:t>
      </w:r>
      <w:r>
        <w:rPr>
          <w:rFonts w:ascii="仿宋" w:hAnsi="仿宋" w:eastAsia="仿宋" w:cs="仿宋_GB2312"/>
          <w:bCs/>
          <w:kern w:val="2"/>
          <w:sz w:val="32"/>
          <w:szCs w:val="30"/>
        </w:rPr>
        <w:t>2025年，基本建成安全高效、绿色节能、服务优质、智能畅联、普惠城乡的现代化邮政快递服务体系</w:t>
      </w:r>
      <w:r>
        <w:rPr>
          <w:rFonts w:hint="eastAsia" w:ascii="仿宋" w:hAnsi="仿宋" w:eastAsia="仿宋" w:cs="仿宋_GB2312"/>
          <w:bCs/>
          <w:kern w:val="2"/>
          <w:sz w:val="32"/>
          <w:szCs w:val="30"/>
        </w:rPr>
        <w:t>，</w:t>
      </w:r>
      <w:r>
        <w:rPr>
          <w:rFonts w:ascii="仿宋" w:hAnsi="仿宋" w:eastAsia="仿宋" w:cs="仿宋_GB2312"/>
          <w:bCs/>
          <w:kern w:val="2"/>
          <w:sz w:val="32"/>
          <w:szCs w:val="30"/>
        </w:rPr>
        <w:t>发展规模不断扩大，行业基础设施全面完善，服务水平显著提高，绿色创新水平有效提升。</w:t>
      </w:r>
    </w:p>
    <w:tbl>
      <w:tblPr>
        <w:tblStyle w:val="24"/>
        <w:tblW w:w="829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96" w:type="dxa"/>
          </w:tcPr>
          <w:p>
            <w:pPr>
              <w:spacing w:line="360" w:lineRule="auto"/>
              <w:jc w:val="center"/>
              <w:rPr>
                <w:rFonts w:ascii="楷体" w:hAnsi="楷体" w:eastAsia="楷体"/>
                <w:b/>
              </w:rPr>
            </w:pPr>
            <w:r>
              <w:rPr>
                <w:rFonts w:hint="eastAsia" w:ascii="楷体" w:hAnsi="楷体" w:eastAsia="楷体"/>
                <w:b/>
              </w:rPr>
              <w:t>专栏9 快递进村工程</w:t>
            </w:r>
          </w:p>
          <w:p>
            <w:pPr>
              <w:spacing w:line="360" w:lineRule="auto"/>
              <w:ind w:firstLine="480" w:firstLineChars="200"/>
              <w:rPr>
                <w:rFonts w:ascii="楷体" w:hAnsi="楷体" w:eastAsia="楷体"/>
              </w:rPr>
            </w:pPr>
            <w:r>
              <w:rPr>
                <w:rFonts w:hint="eastAsia" w:ascii="楷体" w:hAnsi="楷体" w:eastAsia="楷体"/>
              </w:rPr>
              <w:t>结合青阳县实际，全面推进“快递进村”工程。支持“邮快合作”“快电合作”“交快合作”等各种末端服务模式创新，发展共同配送，实行集约揽投，建设村级快递公共服务平台。“十四五”</w:t>
            </w:r>
            <w:r>
              <w:rPr>
                <w:rFonts w:hint="eastAsia" w:ascii="楷体" w:hAnsi="楷体" w:eastAsia="楷体"/>
                <w:lang w:eastAsia="zh-CN"/>
              </w:rPr>
              <w:t>时</w:t>
            </w:r>
            <w:r>
              <w:rPr>
                <w:rFonts w:hint="eastAsia" w:ascii="楷体" w:hAnsi="楷体" w:eastAsia="楷体"/>
              </w:rPr>
              <w:t>期，农村快递服务深度显著增强，县、乡、村快递物流体系逐步建立，符合条件的建制村基本实现“村村通快递”。</w:t>
            </w:r>
          </w:p>
        </w:tc>
      </w:tr>
    </w:tbl>
    <w:p>
      <w:pPr>
        <w:pStyle w:val="57"/>
        <w:ind w:firstLine="640"/>
      </w:pPr>
      <w:bookmarkStart w:id="35" w:name="_Toc97394578"/>
      <w:bookmarkStart w:id="36" w:name="_Toc104537500"/>
      <w:r>
        <w:rPr>
          <w:rFonts w:hint="eastAsia"/>
        </w:rPr>
        <w:t>三、智慧交通创新应用</w:t>
      </w:r>
      <w:bookmarkEnd w:id="35"/>
      <w:bookmarkEnd w:id="36"/>
    </w:p>
    <w:p>
      <w:pPr>
        <w:pStyle w:val="61"/>
        <w:spacing w:line="540" w:lineRule="exact"/>
        <w:ind w:firstLine="640"/>
      </w:pPr>
      <w:bookmarkStart w:id="37" w:name="_Toc40258620"/>
      <w:r>
        <w:rPr>
          <w:rFonts w:hint="eastAsia"/>
        </w:rPr>
        <w:t>“十四五”</w:t>
      </w:r>
      <w:r>
        <w:rPr>
          <w:rFonts w:hint="eastAsia"/>
          <w:lang w:eastAsia="zh-CN"/>
        </w:rPr>
        <w:t>时</w:t>
      </w:r>
      <w:r>
        <w:rPr>
          <w:rFonts w:hint="eastAsia"/>
        </w:rPr>
        <w:t>期，推动传统要素驱动向创新驱动发展转变，高效集聚整合交通创新要素资源，以智能化、信息化为手段，加快打造智能交通系统，提升交通运输技术装备综合保障能力，实现运输服务水平提升和管理组织模式创新。</w:t>
      </w:r>
    </w:p>
    <w:p>
      <w:pPr>
        <w:pStyle w:val="59"/>
        <w:ind w:firstLine="640"/>
        <w:rPr>
          <w:rFonts w:hint="eastAsia" w:ascii="楷体_GB2312" w:hAnsi="楷体_GB2312" w:eastAsia="楷体_GB2312" w:cs="楷体_GB2312"/>
          <w:b/>
          <w:bCs w:val="0"/>
        </w:rPr>
      </w:pPr>
      <w:bookmarkStart w:id="38" w:name="_Toc104537501"/>
      <w:bookmarkStart w:id="39" w:name="_Toc97394579"/>
      <w:r>
        <w:rPr>
          <w:rFonts w:hint="eastAsia" w:ascii="楷体_GB2312" w:hAnsi="楷体_GB2312" w:eastAsia="楷体_GB2312" w:cs="楷体_GB2312"/>
          <w:b/>
          <w:bCs w:val="0"/>
        </w:rPr>
        <w:t>（一）夯实集约高效的信息基础设施</w:t>
      </w:r>
      <w:bookmarkEnd w:id="38"/>
      <w:bookmarkEnd w:id="39"/>
    </w:p>
    <w:p>
      <w:pPr>
        <w:pStyle w:val="61"/>
        <w:spacing w:line="540" w:lineRule="exact"/>
        <w:ind w:firstLine="640"/>
      </w:pPr>
      <w:r>
        <w:rPr>
          <w:rFonts w:hint="eastAsia"/>
        </w:rPr>
        <w:t>推动综合立体交通网基础设施（包括轨道</w:t>
      </w:r>
      <w:r>
        <w:t>交通、</w:t>
      </w:r>
      <w:r>
        <w:rPr>
          <w:rFonts w:hint="eastAsia"/>
        </w:rPr>
        <w:t>高速公路、国省干线、农村公路、枢纽站场、港口、码头、航道等）的数字化、智能化建设，加速交通基础设施网、运输服务网与信息网络融合发展，提升行业信息化基础设施的安全可控水平。</w:t>
      </w:r>
    </w:p>
    <w:p>
      <w:pPr>
        <w:pStyle w:val="59"/>
        <w:ind w:firstLine="640"/>
        <w:rPr>
          <w:rFonts w:hint="eastAsia" w:ascii="楷体_GB2312" w:hAnsi="楷体_GB2312" w:eastAsia="楷体_GB2312" w:cs="楷体_GB2312"/>
          <w:b/>
          <w:bCs w:val="0"/>
        </w:rPr>
      </w:pPr>
      <w:bookmarkStart w:id="40" w:name="_Toc97394580"/>
      <w:bookmarkStart w:id="41" w:name="_Toc104537502"/>
      <w:r>
        <w:rPr>
          <w:rFonts w:hint="eastAsia" w:ascii="楷体_GB2312" w:hAnsi="楷体_GB2312" w:eastAsia="楷体_GB2312" w:cs="楷体_GB2312"/>
          <w:b/>
          <w:bCs w:val="0"/>
        </w:rPr>
        <w:t>（二）建设统一共享的数据资源体系</w:t>
      </w:r>
      <w:bookmarkEnd w:id="40"/>
      <w:bookmarkEnd w:id="41"/>
    </w:p>
    <w:p>
      <w:pPr>
        <w:pStyle w:val="61"/>
        <w:spacing w:line="540" w:lineRule="exact"/>
        <w:ind w:firstLine="640"/>
      </w:pPr>
      <w:r>
        <w:rPr>
          <w:rFonts w:hint="eastAsia"/>
        </w:rPr>
        <w:t>持续推动数据共享和开放应用，持续深化行业系统对接，有效支撑“互联网+政务服务”的落地；推动区域交通运输信息网的建设和行业数据的共享，探索跨区域“一网通办”、行政执法协同以及环境联防联控共治协作。</w:t>
      </w:r>
    </w:p>
    <w:p>
      <w:pPr>
        <w:pStyle w:val="59"/>
        <w:ind w:firstLine="640"/>
        <w:rPr>
          <w:rFonts w:hint="eastAsia" w:ascii="楷体_GB2312" w:hAnsi="楷体_GB2312" w:eastAsia="楷体_GB2312" w:cs="楷体_GB2312"/>
          <w:b/>
          <w:bCs w:val="0"/>
        </w:rPr>
      </w:pPr>
      <w:bookmarkStart w:id="42" w:name="_Toc97394581"/>
      <w:bookmarkStart w:id="43" w:name="_Toc104537503"/>
      <w:r>
        <w:rPr>
          <w:rFonts w:hint="eastAsia" w:ascii="楷体_GB2312" w:hAnsi="楷体_GB2312" w:eastAsia="楷体_GB2312" w:cs="楷体_GB2312"/>
          <w:b/>
          <w:bCs w:val="0"/>
        </w:rPr>
        <w:t>（三）打造行业治理信息化创新格局</w:t>
      </w:r>
      <w:bookmarkEnd w:id="42"/>
      <w:bookmarkEnd w:id="43"/>
    </w:p>
    <w:p>
      <w:pPr>
        <w:spacing w:line="540" w:lineRule="exact"/>
        <w:ind w:firstLine="640" w:firstLineChars="200"/>
        <w:rPr>
          <w:rFonts w:ascii="仿宋" w:hAnsi="仿宋" w:eastAsia="仿宋" w:cs="仿宋_GB2312"/>
          <w:kern w:val="2"/>
          <w:sz w:val="32"/>
          <w:szCs w:val="30"/>
        </w:rPr>
      </w:pPr>
      <w:r>
        <w:rPr>
          <w:rFonts w:hint="eastAsia" w:ascii="仿宋" w:hAnsi="仿宋" w:eastAsia="仿宋" w:cs="仿宋_GB2312"/>
          <w:kern w:val="2"/>
          <w:sz w:val="32"/>
          <w:szCs w:val="30"/>
        </w:rPr>
        <w:t>打造智慧交通信息指挥系统</w:t>
      </w:r>
      <w:r>
        <w:rPr>
          <w:rFonts w:ascii="仿宋" w:hAnsi="仿宋" w:eastAsia="仿宋" w:cs="仿宋_GB2312"/>
          <w:kern w:val="2"/>
          <w:sz w:val="32"/>
          <w:szCs w:val="30"/>
        </w:rPr>
        <w:t>，</w:t>
      </w:r>
      <w:r>
        <w:rPr>
          <w:rFonts w:hint="eastAsia" w:ascii="仿宋" w:hAnsi="仿宋" w:eastAsia="仿宋" w:cs="仿宋_GB2312"/>
          <w:kern w:val="2"/>
          <w:sz w:val="32"/>
          <w:szCs w:val="30"/>
        </w:rPr>
        <w:t>将道路运输、路网监测、海事港航、驾驶培训、</w:t>
      </w:r>
      <w:r>
        <w:rPr>
          <w:rFonts w:ascii="仿宋" w:hAnsi="仿宋" w:eastAsia="仿宋" w:cs="仿宋_GB2312"/>
          <w:kern w:val="2"/>
          <w:sz w:val="32"/>
          <w:szCs w:val="30"/>
        </w:rPr>
        <w:t>治超</w:t>
      </w:r>
      <w:r>
        <w:rPr>
          <w:rFonts w:hint="eastAsia" w:ascii="仿宋" w:hAnsi="仿宋" w:eastAsia="仿宋" w:cs="仿宋_GB2312"/>
          <w:kern w:val="2"/>
          <w:sz w:val="32"/>
          <w:szCs w:val="30"/>
        </w:rPr>
        <w:t>等纳入</w:t>
      </w:r>
      <w:r>
        <w:rPr>
          <w:rFonts w:ascii="仿宋" w:hAnsi="仿宋" w:eastAsia="仿宋" w:cs="仿宋_GB2312"/>
          <w:kern w:val="2"/>
          <w:sz w:val="32"/>
          <w:szCs w:val="30"/>
        </w:rPr>
        <w:t>，提高</w:t>
      </w:r>
      <w:r>
        <w:rPr>
          <w:rFonts w:hint="eastAsia" w:ascii="仿宋" w:hAnsi="仿宋" w:eastAsia="仿宋" w:cs="仿宋_GB2312"/>
          <w:kern w:val="2"/>
          <w:sz w:val="32"/>
          <w:szCs w:val="30"/>
        </w:rPr>
        <w:t>交通运输管理水平</w:t>
      </w:r>
      <w:r>
        <w:rPr>
          <w:rFonts w:ascii="仿宋" w:hAnsi="仿宋" w:eastAsia="仿宋" w:cs="仿宋_GB2312"/>
          <w:kern w:val="2"/>
          <w:sz w:val="32"/>
          <w:szCs w:val="30"/>
        </w:rPr>
        <w:t>。</w:t>
      </w:r>
      <w:r>
        <w:rPr>
          <w:rFonts w:hint="eastAsia" w:ascii="仿宋" w:hAnsi="仿宋" w:eastAsia="仿宋" w:cs="仿宋_GB2312"/>
          <w:kern w:val="2"/>
          <w:sz w:val="32"/>
          <w:szCs w:val="30"/>
        </w:rPr>
        <w:t>加快建设交通运输信息指挥中心，支撑交通管理科学化、服务智能化，实现交通一张图、数据一张网、出行“一站式”。</w:t>
      </w:r>
    </w:p>
    <w:p>
      <w:pPr>
        <w:pStyle w:val="59"/>
        <w:ind w:firstLine="640"/>
        <w:rPr>
          <w:rFonts w:hint="eastAsia" w:ascii="楷体_GB2312" w:hAnsi="楷体_GB2312" w:eastAsia="楷体_GB2312" w:cs="楷体_GB2312"/>
          <w:b/>
          <w:bCs w:val="0"/>
        </w:rPr>
      </w:pPr>
      <w:bookmarkStart w:id="44" w:name="_Toc104537504"/>
      <w:bookmarkStart w:id="45" w:name="_Toc97394582"/>
      <w:r>
        <w:rPr>
          <w:rFonts w:hint="eastAsia" w:ascii="楷体_GB2312" w:hAnsi="楷体_GB2312" w:eastAsia="楷体_GB2312" w:cs="楷体_GB2312"/>
          <w:b/>
          <w:bCs w:val="0"/>
        </w:rPr>
        <w:t>（四）推动行业信息化服务全面提质</w:t>
      </w:r>
      <w:bookmarkEnd w:id="44"/>
      <w:bookmarkEnd w:id="45"/>
    </w:p>
    <w:p>
      <w:pPr>
        <w:pStyle w:val="61"/>
        <w:spacing w:line="540" w:lineRule="exact"/>
        <w:ind w:firstLine="640"/>
      </w:pPr>
      <w:r>
        <w:rPr>
          <w:rFonts w:hint="eastAsia"/>
        </w:rPr>
        <w:t>整合网上办事大厅、小程序等线上渠道，以及实体办事大厅、自助服务终端等线下渠道，改革服务供给、优化服务体验，打通服务“最后一公里”；大力发展智慧交通，提升运输服务品质，推进出行信息服务便捷快速。</w:t>
      </w:r>
    </w:p>
    <w:tbl>
      <w:tblPr>
        <w:tblStyle w:val="24"/>
        <w:tblpPr w:leftFromText="180" w:rightFromText="180" w:vertAnchor="text" w:horzAnchor="page" w:tblpXSpec="center" w:tblpY="260"/>
        <w:tblOverlap w:val="never"/>
        <w:tblW w:w="829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96" w:type="dxa"/>
          </w:tcPr>
          <w:p>
            <w:pPr>
              <w:spacing w:line="360" w:lineRule="auto"/>
              <w:ind w:firstLine="482" w:firstLineChars="200"/>
              <w:jc w:val="center"/>
              <w:rPr>
                <w:rFonts w:ascii="楷体" w:hAnsi="楷体" w:eastAsia="楷体"/>
                <w:b/>
              </w:rPr>
            </w:pPr>
            <w:r>
              <w:rPr>
                <w:rFonts w:hint="eastAsia" w:ascii="楷体" w:hAnsi="楷体" w:eastAsia="楷体"/>
                <w:b/>
              </w:rPr>
              <w:t>专栏10 青阳县交通运输信息化工程</w:t>
            </w:r>
          </w:p>
          <w:p>
            <w:pPr>
              <w:spacing w:line="360" w:lineRule="auto"/>
              <w:ind w:firstLine="480" w:firstLineChars="200"/>
              <w:rPr>
                <w:rFonts w:ascii="楷体" w:hAnsi="楷体" w:eastAsia="楷体"/>
              </w:rPr>
            </w:pPr>
            <w:r>
              <w:rPr>
                <w:rFonts w:hint="eastAsia" w:ascii="楷体" w:hAnsi="楷体" w:eastAsia="楷体"/>
              </w:rPr>
              <w:t>机房、信息平台和终端建设；TOCC 应用建设；客货交通运输、公交出租、源头治超、非现场执法监管机房、管养信息平台和终端及日常维护。</w:t>
            </w:r>
          </w:p>
        </w:tc>
      </w:tr>
      <w:bookmarkEnd w:id="37"/>
    </w:tbl>
    <w:p>
      <w:pPr>
        <w:pStyle w:val="57"/>
        <w:ind w:firstLine="640"/>
      </w:pPr>
      <w:bookmarkStart w:id="46" w:name="_Toc104537505"/>
      <w:bookmarkStart w:id="47" w:name="_Toc97394583"/>
      <w:r>
        <w:rPr>
          <w:rFonts w:hint="eastAsia"/>
        </w:rPr>
        <w:t>四、绿色交通持续发展</w:t>
      </w:r>
      <w:bookmarkEnd w:id="46"/>
      <w:bookmarkEnd w:id="47"/>
    </w:p>
    <w:p>
      <w:pPr>
        <w:pStyle w:val="61"/>
        <w:spacing w:line="540" w:lineRule="exact"/>
        <w:ind w:firstLine="640"/>
      </w:pPr>
      <w:r>
        <w:rPr>
          <w:rFonts w:hint="eastAsia"/>
        </w:rPr>
        <w:t>“十四五”</w:t>
      </w:r>
      <w:r>
        <w:rPr>
          <w:rFonts w:hint="eastAsia"/>
          <w:lang w:eastAsia="zh-CN"/>
        </w:rPr>
        <w:t>时</w:t>
      </w:r>
      <w:r>
        <w:rPr>
          <w:rFonts w:hint="eastAsia"/>
        </w:rPr>
        <w:t>期，提高资源利用效率，推进交通发展全环节、全寿命周期的绿色化，加快构建“结构合理、集约高效、节能环保、以人为本”的绿色交通体系。</w:t>
      </w:r>
    </w:p>
    <w:p>
      <w:pPr>
        <w:pStyle w:val="59"/>
        <w:ind w:firstLine="640"/>
        <w:rPr>
          <w:rFonts w:hint="eastAsia" w:ascii="楷体_GB2312" w:hAnsi="楷体_GB2312" w:eastAsia="楷体_GB2312" w:cs="楷体_GB2312"/>
          <w:b/>
          <w:bCs w:val="0"/>
        </w:rPr>
      </w:pPr>
      <w:bookmarkStart w:id="48" w:name="_Toc104537506"/>
      <w:bookmarkStart w:id="49" w:name="_Toc49331505"/>
      <w:bookmarkStart w:id="50" w:name="_Toc97394584"/>
      <w:r>
        <w:rPr>
          <w:rFonts w:hint="eastAsia" w:ascii="楷体_GB2312" w:hAnsi="楷体_GB2312" w:eastAsia="楷体_GB2312" w:cs="楷体_GB2312"/>
          <w:b/>
          <w:bCs w:val="0"/>
        </w:rPr>
        <w:t>（一）强化绿色理念引领</w:t>
      </w:r>
      <w:bookmarkEnd w:id="48"/>
      <w:bookmarkEnd w:id="49"/>
      <w:bookmarkEnd w:id="50"/>
    </w:p>
    <w:p>
      <w:pPr>
        <w:pStyle w:val="61"/>
        <w:spacing w:line="540" w:lineRule="exact"/>
        <w:ind w:firstLine="640"/>
      </w:pPr>
      <w:r>
        <w:rPr>
          <w:rFonts w:hint="eastAsia"/>
        </w:rPr>
        <w:t>将绿色交通理念贯穿于规划、设计、建设、运营、维护、管理、使用等全环节，力争实现全寿命周期绿色化。抓好各种运输方式一体规划，执行交通基础设施</w:t>
      </w:r>
      <w:r>
        <w:t>建</w:t>
      </w:r>
      <w:r>
        <w:rPr>
          <w:rFonts w:hint="eastAsia"/>
        </w:rPr>
        <w:t>、</w:t>
      </w:r>
      <w:r>
        <w:t>管</w:t>
      </w:r>
      <w:r>
        <w:rPr>
          <w:rFonts w:hint="eastAsia"/>
        </w:rPr>
        <w:t>、</w:t>
      </w:r>
      <w:r>
        <w:t>养</w:t>
      </w:r>
      <w:r>
        <w:rPr>
          <w:rFonts w:hint="eastAsia"/>
        </w:rPr>
        <w:t>、</w:t>
      </w:r>
      <w:r>
        <w:t>护的生态环境保护标准体系</w:t>
      </w:r>
      <w:r>
        <w:rPr>
          <w:rFonts w:hint="eastAsia"/>
        </w:rPr>
        <w:t>，</w:t>
      </w:r>
      <w:r>
        <w:t>实现交通绿色发展</w:t>
      </w:r>
      <w:r>
        <w:rPr>
          <w:rFonts w:hint="eastAsia"/>
        </w:rPr>
        <w:t>。</w:t>
      </w:r>
    </w:p>
    <w:p>
      <w:pPr>
        <w:pStyle w:val="59"/>
        <w:ind w:firstLine="640"/>
        <w:rPr>
          <w:rFonts w:hint="eastAsia" w:ascii="楷体_GB2312" w:hAnsi="楷体_GB2312" w:eastAsia="楷体_GB2312" w:cs="楷体_GB2312"/>
          <w:b/>
          <w:bCs w:val="0"/>
        </w:rPr>
      </w:pPr>
      <w:bookmarkStart w:id="51" w:name="_Toc97394585"/>
      <w:bookmarkStart w:id="52" w:name="_Toc104537507"/>
      <w:bookmarkStart w:id="53" w:name="_Toc49331506"/>
      <w:r>
        <w:rPr>
          <w:rFonts w:hint="eastAsia" w:ascii="楷体_GB2312" w:hAnsi="楷体_GB2312" w:eastAsia="楷体_GB2312" w:cs="楷体_GB2312"/>
          <w:b/>
          <w:bCs w:val="0"/>
        </w:rPr>
        <w:t>（二）构建绿色出行体系</w:t>
      </w:r>
      <w:bookmarkEnd w:id="51"/>
      <w:bookmarkEnd w:id="52"/>
    </w:p>
    <w:p>
      <w:pPr>
        <w:pStyle w:val="61"/>
        <w:spacing w:line="540" w:lineRule="exact"/>
        <w:ind w:firstLine="640"/>
      </w:pPr>
      <w:r>
        <w:rPr>
          <w:rFonts w:hint="eastAsia"/>
        </w:rPr>
        <w:t>引导城市优化公交线网、增设站点、完善设施等，打造以“公共交通+慢行”等绿色交通为主导的综合交通体系，开展基于大数据和移动互联的实时精准一站式客运交通服务，显著提高居民出行中的绿色交通方式占比。</w:t>
      </w:r>
    </w:p>
    <w:bookmarkEnd w:id="53"/>
    <w:p>
      <w:pPr>
        <w:pStyle w:val="59"/>
        <w:ind w:firstLine="640"/>
        <w:rPr>
          <w:rFonts w:hint="eastAsia" w:ascii="楷体_GB2312" w:hAnsi="楷体_GB2312" w:eastAsia="楷体_GB2312" w:cs="楷体_GB2312"/>
          <w:b/>
          <w:bCs w:val="0"/>
        </w:rPr>
      </w:pPr>
      <w:bookmarkStart w:id="54" w:name="_Toc104537508"/>
      <w:bookmarkStart w:id="55" w:name="_Toc49331507"/>
      <w:bookmarkStart w:id="56" w:name="_Toc97394586"/>
      <w:bookmarkStart w:id="57" w:name="_Toc97394591"/>
      <w:r>
        <w:rPr>
          <w:rFonts w:hint="eastAsia" w:ascii="楷体_GB2312" w:hAnsi="楷体_GB2312" w:eastAsia="楷体_GB2312" w:cs="楷体_GB2312"/>
          <w:b/>
          <w:bCs w:val="0"/>
        </w:rPr>
        <w:t>（三）推广绿色运输装备</w:t>
      </w:r>
      <w:bookmarkEnd w:id="54"/>
      <w:bookmarkEnd w:id="55"/>
      <w:bookmarkEnd w:id="56"/>
    </w:p>
    <w:p>
      <w:pPr>
        <w:pStyle w:val="61"/>
        <w:spacing w:line="540" w:lineRule="exact"/>
        <w:ind w:firstLine="640"/>
      </w:pPr>
      <w:r>
        <w:rPr>
          <w:rFonts w:hint="eastAsia"/>
        </w:rPr>
        <w:t>强化交通服务设施配套，通过政策手段加速更新老旧和高能耗、高排放交通工具。</w:t>
      </w:r>
      <w:r>
        <w:rPr>
          <w:rFonts w:hint="eastAsia" w:cs="仿宋"/>
          <w:kern w:val="0"/>
          <w:szCs w:val="32"/>
        </w:rPr>
        <w:t>提高清洁能源和可再生能源在交通行业中的使用比重</w:t>
      </w:r>
      <w:r>
        <w:rPr>
          <w:rFonts w:hint="eastAsia"/>
        </w:rPr>
        <w:t>。</w:t>
      </w:r>
    </w:p>
    <w:tbl>
      <w:tblPr>
        <w:tblStyle w:val="2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13" w:type="dxa"/>
          </w:tcPr>
          <w:p>
            <w:pPr>
              <w:spacing w:line="360" w:lineRule="auto"/>
              <w:jc w:val="center"/>
              <w:rPr>
                <w:rFonts w:ascii="楷体" w:hAnsi="楷体" w:eastAsia="楷体"/>
                <w:b/>
              </w:rPr>
            </w:pPr>
            <w:r>
              <w:rPr>
                <w:rFonts w:hint="eastAsia" w:ascii="楷体" w:hAnsi="楷体" w:eastAsia="楷体"/>
                <w:b/>
              </w:rPr>
              <w:t>专栏11 绿色装备推广与应用</w:t>
            </w:r>
          </w:p>
          <w:p>
            <w:pPr>
              <w:pStyle w:val="8"/>
              <w:spacing w:before="0" w:line="360" w:lineRule="auto"/>
              <w:ind w:firstLine="482" w:firstLineChars="200"/>
              <w:rPr>
                <w:rFonts w:ascii="楷体" w:hAnsi="楷体" w:eastAsia="楷体" w:cstheme="minorBidi"/>
              </w:rPr>
            </w:pPr>
            <w:r>
              <w:rPr>
                <w:rFonts w:ascii="楷体" w:hAnsi="楷体" w:eastAsia="楷体" w:cstheme="minorBidi"/>
                <w:b/>
              </w:rPr>
              <w:t>基础设施支撑</w:t>
            </w:r>
            <w:r>
              <w:rPr>
                <w:rFonts w:hint="eastAsia" w:ascii="楷体" w:hAnsi="楷体" w:eastAsia="楷体" w:cstheme="minorBidi"/>
                <w:b/>
              </w:rPr>
              <w:t>。</w:t>
            </w:r>
            <w:r>
              <w:rPr>
                <w:rFonts w:hint="eastAsia" w:ascii="楷体" w:hAnsi="楷体" w:eastAsia="楷体" w:cstheme="minorBidi"/>
              </w:rPr>
              <w:t>加快</w:t>
            </w:r>
            <w:r>
              <w:rPr>
                <w:rFonts w:ascii="楷体" w:hAnsi="楷体" w:eastAsia="楷体" w:cstheme="minorBidi"/>
              </w:rPr>
              <w:t>建设</w:t>
            </w:r>
            <w:r>
              <w:rPr>
                <w:rFonts w:hint="eastAsia" w:ascii="楷体" w:hAnsi="楷体" w:eastAsia="楷体" w:cstheme="minorBidi"/>
              </w:rPr>
              <w:t>S3</w:t>
            </w:r>
            <w:r>
              <w:rPr>
                <w:rFonts w:ascii="楷体" w:hAnsi="楷体" w:eastAsia="楷体" w:cstheme="minorBidi"/>
              </w:rPr>
              <w:t>5</w:t>
            </w:r>
            <w:r>
              <w:rPr>
                <w:rFonts w:hint="eastAsia" w:ascii="楷体" w:hAnsi="楷体" w:eastAsia="楷体" w:cstheme="minorBidi"/>
              </w:rPr>
              <w:t>8青阳</w:t>
            </w:r>
            <w:r>
              <w:rPr>
                <w:rFonts w:ascii="楷体" w:hAnsi="楷体" w:eastAsia="楷体" w:cstheme="minorBidi"/>
              </w:rPr>
              <w:t>至红石</w:t>
            </w:r>
            <w:r>
              <w:rPr>
                <w:rFonts w:hint="eastAsia" w:ascii="楷体" w:hAnsi="楷体" w:eastAsia="楷体" w:cstheme="minorBidi"/>
              </w:rPr>
              <w:t>等</w:t>
            </w:r>
            <w:r>
              <w:rPr>
                <w:rFonts w:ascii="楷体" w:hAnsi="楷体" w:eastAsia="楷体" w:cstheme="minorBidi"/>
              </w:rPr>
              <w:t>绿色公路</w:t>
            </w:r>
            <w:r>
              <w:rPr>
                <w:rFonts w:hint="eastAsia" w:ascii="楷体" w:hAnsi="楷体" w:eastAsia="楷体" w:cstheme="minorBidi"/>
              </w:rPr>
              <w:t>，推进</w:t>
            </w:r>
            <w:r>
              <w:rPr>
                <w:rFonts w:ascii="楷体" w:hAnsi="楷体" w:eastAsia="楷体" w:cstheme="minorBidi"/>
              </w:rPr>
              <w:t>高速公路服务区、交通枢纽充电加气设施的规划与建设</w:t>
            </w:r>
            <w:r>
              <w:rPr>
                <w:rFonts w:hint="eastAsia" w:ascii="楷体" w:hAnsi="楷体" w:eastAsia="楷体" w:cstheme="minorBidi"/>
              </w:rPr>
              <w:t>。</w:t>
            </w:r>
          </w:p>
          <w:p>
            <w:pPr>
              <w:pStyle w:val="8"/>
              <w:spacing w:before="0" w:line="360" w:lineRule="auto"/>
              <w:ind w:firstLine="482" w:firstLineChars="200"/>
              <w:rPr>
                <w:rFonts w:ascii="楷体" w:hAnsi="楷体" w:eastAsia="楷体" w:cstheme="minorBidi"/>
              </w:rPr>
            </w:pPr>
            <w:r>
              <w:rPr>
                <w:rFonts w:hint="eastAsia" w:ascii="楷体" w:hAnsi="楷体" w:eastAsia="楷体" w:cstheme="minorBidi"/>
                <w:b/>
              </w:rPr>
              <w:t>新能源和清洁能源车船应用推广。</w:t>
            </w:r>
            <w:r>
              <w:rPr>
                <w:rFonts w:hint="eastAsia" w:ascii="楷体" w:hAnsi="楷体" w:eastAsia="楷体" w:cstheme="minorBidi"/>
              </w:rPr>
              <w:t>在城市公交、出租汽车、城市物流配送、邮政快递等领域优先使用新能源汽车，加大天然气等清洁燃料车船推广应用。</w:t>
            </w:r>
          </w:p>
        </w:tc>
      </w:tr>
    </w:tbl>
    <w:p>
      <w:pPr>
        <w:pStyle w:val="59"/>
        <w:ind w:firstLine="640"/>
        <w:rPr>
          <w:rFonts w:hint="eastAsia" w:ascii="楷体_GB2312" w:hAnsi="楷体_GB2312" w:eastAsia="楷体_GB2312" w:cs="楷体_GB2312"/>
          <w:b/>
          <w:bCs w:val="0"/>
        </w:rPr>
      </w:pPr>
      <w:bookmarkStart w:id="58" w:name="_Toc104537509"/>
      <w:r>
        <w:rPr>
          <w:rFonts w:hint="eastAsia" w:ascii="楷体_GB2312" w:hAnsi="楷体_GB2312" w:eastAsia="楷体_GB2312" w:cs="楷体_GB2312"/>
          <w:b/>
          <w:bCs w:val="0"/>
        </w:rPr>
        <w:t>（四）规避不良环境影响</w:t>
      </w:r>
      <w:bookmarkEnd w:id="58"/>
    </w:p>
    <w:p>
      <w:pPr>
        <w:pStyle w:val="61"/>
        <w:spacing w:line="540" w:lineRule="exact"/>
        <w:ind w:firstLine="640"/>
      </w:pPr>
      <w:r>
        <w:rPr>
          <w:rFonts w:hint="eastAsia"/>
        </w:rPr>
        <w:t>加强与国土空间规划衔接，合理避让具有重要生态功能的国土空间。坚持源头控制，做到土地复垦与交通项目建设统一规划。</w:t>
      </w:r>
      <w:r>
        <w:rPr>
          <w:rFonts w:hint="eastAsia" w:cs="仿宋"/>
          <w:kern w:val="0"/>
          <w:szCs w:val="32"/>
        </w:rPr>
        <w:t>尽量共用交通廊道实施线性交通工程建设，合理有序开发港口岸线资源。建立环境风险应急体系，建立并完善环境风险事故的预防和处理机制</w:t>
      </w:r>
      <w:r>
        <w:rPr>
          <w:rFonts w:hint="eastAsia"/>
        </w:rPr>
        <w:t>。</w:t>
      </w:r>
    </w:p>
    <w:p>
      <w:pPr>
        <w:pStyle w:val="57"/>
        <w:ind w:firstLine="640"/>
      </w:pPr>
      <w:bookmarkStart w:id="59" w:name="_Toc104537510"/>
      <w:r>
        <w:rPr>
          <w:rFonts w:hint="eastAsia"/>
        </w:rPr>
        <w:t>五、安全保障可靠有力</w:t>
      </w:r>
      <w:bookmarkEnd w:id="57"/>
      <w:bookmarkEnd w:id="59"/>
    </w:p>
    <w:p>
      <w:pPr>
        <w:pStyle w:val="59"/>
        <w:ind w:firstLine="640"/>
        <w:rPr>
          <w:rFonts w:hint="eastAsia" w:ascii="楷体_GB2312" w:hAnsi="楷体_GB2312" w:eastAsia="楷体_GB2312" w:cs="楷体_GB2312"/>
          <w:b/>
          <w:bCs w:val="0"/>
        </w:rPr>
      </w:pPr>
      <w:bookmarkStart w:id="60" w:name="_Toc104537511"/>
      <w:bookmarkStart w:id="61" w:name="_Toc97394592"/>
      <w:bookmarkStart w:id="62" w:name="_Toc451445409"/>
      <w:bookmarkStart w:id="63" w:name="_Toc444959596"/>
      <w:bookmarkStart w:id="64" w:name="_Toc446002483"/>
      <w:bookmarkStart w:id="65" w:name="_Toc444956123"/>
      <w:bookmarkStart w:id="66" w:name="_Toc469039841"/>
      <w:bookmarkStart w:id="67" w:name="_Toc455846467"/>
      <w:r>
        <w:rPr>
          <w:rFonts w:hint="eastAsia" w:ascii="楷体_GB2312" w:hAnsi="楷体_GB2312" w:eastAsia="楷体_GB2312" w:cs="楷体_GB2312"/>
          <w:b/>
          <w:bCs w:val="0"/>
        </w:rPr>
        <w:t>（一）深化平安交通建设</w:t>
      </w:r>
      <w:bookmarkEnd w:id="60"/>
      <w:bookmarkEnd w:id="61"/>
    </w:p>
    <w:p>
      <w:pPr>
        <w:pStyle w:val="61"/>
        <w:spacing w:line="540" w:lineRule="exact"/>
        <w:ind w:firstLine="640"/>
        <w:rPr>
          <w:rFonts w:cs="仿宋"/>
          <w:kern w:val="0"/>
          <w:szCs w:val="32"/>
        </w:rPr>
      </w:pPr>
      <w:r>
        <w:rPr>
          <w:rFonts w:hint="eastAsia" w:cs="仿宋"/>
          <w:szCs w:val="32"/>
        </w:rPr>
        <w:t>提升基础设施安全保障水平，</w:t>
      </w:r>
      <w:r>
        <w:rPr>
          <w:rFonts w:hint="eastAsia" w:cs="仿宋"/>
          <w:kern w:val="0"/>
          <w:szCs w:val="32"/>
        </w:rPr>
        <w:t>扎实推进生命安全防护工程，不断提升设施安全防护能力。</w:t>
      </w:r>
      <w:r>
        <w:rPr>
          <w:rFonts w:hint="eastAsia"/>
        </w:rPr>
        <w:t>继续实施农村公路危桥改造，实现农村公路危桥总数逐年下降；基本完成县道、乡道及通客运班线的村道安全隐患治理。</w:t>
      </w:r>
    </w:p>
    <w:bookmarkEnd w:id="62"/>
    <w:bookmarkEnd w:id="63"/>
    <w:bookmarkEnd w:id="64"/>
    <w:bookmarkEnd w:id="65"/>
    <w:bookmarkEnd w:id="66"/>
    <w:bookmarkEnd w:id="67"/>
    <w:p>
      <w:pPr>
        <w:pStyle w:val="59"/>
        <w:ind w:firstLine="640"/>
        <w:rPr>
          <w:rFonts w:hint="eastAsia" w:ascii="楷体_GB2312" w:hAnsi="楷体_GB2312" w:eastAsia="楷体_GB2312" w:cs="楷体_GB2312"/>
          <w:b/>
          <w:bCs w:val="0"/>
        </w:rPr>
      </w:pPr>
      <w:bookmarkStart w:id="68" w:name="_Toc444959597"/>
      <w:bookmarkStart w:id="69" w:name="_Toc444956124"/>
      <w:bookmarkStart w:id="70" w:name="_Toc451445410"/>
      <w:bookmarkStart w:id="71" w:name="_Toc455846468"/>
      <w:bookmarkStart w:id="72" w:name="_Toc446002484"/>
      <w:bookmarkStart w:id="73" w:name="_Toc469039842"/>
      <w:bookmarkStart w:id="74" w:name="_Toc97394593"/>
      <w:bookmarkStart w:id="75" w:name="_Toc104537512"/>
      <w:r>
        <w:rPr>
          <w:rFonts w:hint="eastAsia" w:ascii="楷体_GB2312" w:hAnsi="楷体_GB2312" w:eastAsia="楷体_GB2312" w:cs="楷体_GB2312"/>
          <w:b/>
          <w:bCs w:val="0"/>
        </w:rPr>
        <w:t>（二）</w:t>
      </w:r>
      <w:bookmarkEnd w:id="68"/>
      <w:bookmarkEnd w:id="69"/>
      <w:bookmarkEnd w:id="70"/>
      <w:bookmarkEnd w:id="71"/>
      <w:bookmarkEnd w:id="72"/>
      <w:bookmarkEnd w:id="73"/>
      <w:r>
        <w:rPr>
          <w:rFonts w:hint="eastAsia" w:ascii="楷体_GB2312" w:hAnsi="楷体_GB2312" w:eastAsia="楷体_GB2312" w:cs="楷体_GB2312"/>
          <w:b/>
          <w:bCs w:val="0"/>
        </w:rPr>
        <w:t>增强应急保障能力</w:t>
      </w:r>
      <w:bookmarkEnd w:id="74"/>
      <w:bookmarkEnd w:id="75"/>
    </w:p>
    <w:p>
      <w:pPr>
        <w:pStyle w:val="61"/>
        <w:spacing w:line="540" w:lineRule="exact"/>
        <w:ind w:firstLine="640"/>
      </w:pPr>
      <w:r>
        <w:rPr>
          <w:rFonts w:hint="eastAsia"/>
        </w:rPr>
        <w:t>加强交通运输应急体系建设，提升突发事件应急处置能力，强化春运、法定节假日等重点时段安全监管，做好极端天气的防范和应急保障；实施“互联网+交通安全教育”工程，重点完善安全生产培训体系，加大安全知识宣传力度。</w:t>
      </w:r>
    </w:p>
    <w:p>
      <w:pPr>
        <w:pStyle w:val="59"/>
        <w:ind w:firstLine="640"/>
        <w:rPr>
          <w:rFonts w:hint="eastAsia" w:ascii="楷体_GB2312" w:hAnsi="楷体_GB2312" w:eastAsia="楷体_GB2312" w:cs="楷体_GB2312"/>
          <w:b/>
          <w:bCs w:val="0"/>
        </w:rPr>
      </w:pPr>
      <w:bookmarkStart w:id="76" w:name="_Toc97394594"/>
      <w:bookmarkStart w:id="77" w:name="_Toc104537513"/>
      <w:r>
        <w:rPr>
          <w:rFonts w:hint="eastAsia" w:ascii="楷体_GB2312" w:hAnsi="楷体_GB2312" w:eastAsia="楷体_GB2312" w:cs="楷体_GB2312"/>
          <w:b/>
          <w:bCs w:val="0"/>
        </w:rPr>
        <w:t>（三）强化安全监管能力</w:t>
      </w:r>
      <w:bookmarkEnd w:id="76"/>
      <w:bookmarkEnd w:id="77"/>
    </w:p>
    <w:p>
      <w:pPr>
        <w:pStyle w:val="61"/>
        <w:spacing w:line="540" w:lineRule="exact"/>
        <w:ind w:firstLine="640"/>
      </w:pPr>
      <w:r>
        <w:rPr>
          <w:rFonts w:hint="eastAsia"/>
        </w:rPr>
        <w:t>强化重点行业领域安全监管，新建1个治超站、5个治超卡点，加强轨道交通运营、危险货物运输、道路客运、公共交通</w:t>
      </w:r>
      <w:r>
        <w:t>等重点领域的安全监管</w:t>
      </w:r>
      <w:r>
        <w:rPr>
          <w:rFonts w:hint="eastAsia"/>
        </w:rPr>
        <w:t>，开展“两客一危”车辆和城市公交的日常检查和巡查</w:t>
      </w:r>
      <w:r>
        <w:t>，</w:t>
      </w:r>
      <w:r>
        <w:rPr>
          <w:rFonts w:hint="eastAsia"/>
        </w:rPr>
        <w:t>强化危险货物道路以及港口运营安全生产共享信息。</w:t>
      </w:r>
    </w:p>
    <w:p>
      <w:pPr>
        <w:pStyle w:val="61"/>
        <w:spacing w:line="540" w:lineRule="exact"/>
        <w:ind w:firstLine="640"/>
      </w:pPr>
      <w:r>
        <w:t>到2025年，公路、水路交通安全监管体系逐步完善，交通运输应急体系进一步完善，安全保障能力显著提高，能够有效应对交通突发事件，为人民群众出行提供运输安全保障。一般灾害情况下公路应急救援时间不超过1小时</w:t>
      </w:r>
      <w:r>
        <w:rPr>
          <w:rFonts w:hint="eastAsia"/>
        </w:rPr>
        <w:t>。</w:t>
      </w:r>
    </w:p>
    <w:tbl>
      <w:tblPr>
        <w:tblStyle w:val="2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13" w:type="dxa"/>
          </w:tcPr>
          <w:p>
            <w:pPr>
              <w:spacing w:line="360" w:lineRule="auto"/>
              <w:jc w:val="center"/>
              <w:rPr>
                <w:rFonts w:ascii="楷体" w:hAnsi="楷体" w:eastAsia="楷体"/>
                <w:b/>
              </w:rPr>
            </w:pPr>
            <w:r>
              <w:rPr>
                <w:rFonts w:hint="eastAsia" w:ascii="楷体" w:hAnsi="楷体" w:eastAsia="楷体"/>
                <w:b/>
              </w:rPr>
              <w:t>专栏12 治超能力提升</w:t>
            </w:r>
          </w:p>
          <w:p>
            <w:pPr>
              <w:pStyle w:val="8"/>
              <w:spacing w:before="0" w:line="360" w:lineRule="auto"/>
              <w:ind w:firstLine="480" w:firstLineChars="200"/>
              <w:rPr>
                <w:rFonts w:ascii="楷体" w:hAnsi="楷体" w:eastAsia="楷体" w:cstheme="minorBidi"/>
              </w:rPr>
            </w:pPr>
            <w:r>
              <w:rPr>
                <w:rFonts w:hint="eastAsia" w:ascii="楷体" w:hAnsi="楷体" w:eastAsia="楷体" w:cstheme="minorBidi"/>
              </w:rPr>
              <w:t>新建G330治超站；新建杨田、乔木、S219（陵阳/童埠）、S461（丁桥）共5个治超卡点。</w:t>
            </w:r>
          </w:p>
        </w:tc>
      </w:tr>
    </w:tbl>
    <w:p>
      <w:pPr>
        <w:pStyle w:val="57"/>
        <w:ind w:firstLine="640"/>
      </w:pPr>
      <w:bookmarkStart w:id="78" w:name="_Toc104537514"/>
      <w:bookmarkStart w:id="79" w:name="_Toc97394601"/>
      <w:r>
        <w:rPr>
          <w:rFonts w:hint="eastAsia"/>
        </w:rPr>
        <w:t>六、交通旅游融合推进</w:t>
      </w:r>
      <w:bookmarkEnd w:id="78"/>
      <w:bookmarkEnd w:id="79"/>
    </w:p>
    <w:p>
      <w:pPr>
        <w:pStyle w:val="59"/>
        <w:ind w:firstLine="640"/>
        <w:rPr>
          <w:rFonts w:hint="eastAsia" w:ascii="楷体_GB2312" w:hAnsi="楷体_GB2312" w:eastAsia="楷体_GB2312" w:cs="楷体_GB2312"/>
          <w:b/>
          <w:bCs w:val="0"/>
        </w:rPr>
      </w:pPr>
      <w:bookmarkStart w:id="80" w:name="_Toc104537515"/>
      <w:r>
        <w:rPr>
          <w:rFonts w:hint="eastAsia" w:ascii="楷体_GB2312" w:hAnsi="楷体_GB2312" w:eastAsia="楷体_GB2312" w:cs="楷体_GB2312"/>
          <w:b/>
          <w:bCs w:val="0"/>
        </w:rPr>
        <w:t>（一）外通催生旅游</w:t>
      </w:r>
      <w:bookmarkEnd w:id="80"/>
    </w:p>
    <w:p>
      <w:pPr>
        <w:pStyle w:val="61"/>
        <w:spacing w:line="540" w:lineRule="exact"/>
        <w:ind w:firstLine="640"/>
      </w:pPr>
      <w:r>
        <w:rPr>
          <w:rFonts w:hint="eastAsia"/>
        </w:rPr>
        <w:t xml:space="preserve">做深做细“旅游+交通”融合发展方案，规划对外道路交通，催生旅游。 </w:t>
      </w:r>
    </w:p>
    <w:p>
      <w:pPr>
        <w:pStyle w:val="61"/>
        <w:spacing w:line="540" w:lineRule="exact"/>
        <w:ind w:firstLine="640"/>
      </w:pPr>
      <w:r>
        <w:rPr>
          <w:rFonts w:hint="eastAsia"/>
        </w:rPr>
        <w:t xml:space="preserve">机场：充分利用既有九华山机场航空资源，增拓航线，积极对接区域和国际市场。提升九华山机场至国道 G318 联络线的公路等级和服务水平，强化九华山机场与风景区的交通联系。 </w:t>
      </w:r>
    </w:p>
    <w:p>
      <w:pPr>
        <w:pStyle w:val="61"/>
        <w:spacing w:line="540" w:lineRule="exact"/>
        <w:ind w:firstLine="640"/>
      </w:pPr>
      <w:r>
        <w:rPr>
          <w:rFonts w:hint="eastAsia"/>
        </w:rPr>
        <w:t xml:space="preserve">铁路：加强风景区与青阳高铁枢纽、九华山南部黄山高铁枢纽的联系，加强九华山与长江经济带，以及区域中心城市的衔接，进一步扩大国内旅游市场。 </w:t>
      </w:r>
    </w:p>
    <w:p>
      <w:pPr>
        <w:pStyle w:val="61"/>
        <w:spacing w:line="540" w:lineRule="exact"/>
        <w:ind w:firstLine="640"/>
      </w:pPr>
      <w:r>
        <w:rPr>
          <w:rFonts w:hint="eastAsia"/>
        </w:rPr>
        <w:t>公路：在既有G3 京台高速基础上，利用S40宁国至枞阳高速公路和S36宣城至东至高速公路建设契机，强化风景区对外通道与区域交通网络的衔接。同时，利用规划的 S221、S219 省道，并提级 X308 县道构建九华山旅游公路环线。并以此为基础在庙前镇西侧布局杜村至 G318 国道的公路联络线，开辟风景区北大门对外交通联系的第二通道。</w:t>
      </w:r>
    </w:p>
    <w:p>
      <w:pPr>
        <w:pStyle w:val="59"/>
        <w:ind w:firstLine="640"/>
        <w:rPr>
          <w:rFonts w:hint="eastAsia" w:ascii="楷体_GB2312" w:hAnsi="楷体_GB2312" w:eastAsia="楷体_GB2312" w:cs="楷体_GB2312"/>
          <w:b/>
          <w:bCs w:val="0"/>
        </w:rPr>
      </w:pPr>
      <w:bookmarkStart w:id="81" w:name="_Toc104537516"/>
      <w:r>
        <w:rPr>
          <w:rFonts w:hint="eastAsia" w:ascii="楷体_GB2312" w:hAnsi="楷体_GB2312" w:eastAsia="楷体_GB2312" w:cs="楷体_GB2312"/>
          <w:b/>
          <w:bCs w:val="0"/>
        </w:rPr>
        <w:t>（二）内联构筑“快进慢游”</w:t>
      </w:r>
      <w:bookmarkEnd w:id="81"/>
    </w:p>
    <w:p>
      <w:pPr>
        <w:pStyle w:val="61"/>
        <w:spacing w:line="540" w:lineRule="exact"/>
        <w:ind w:firstLine="640"/>
      </w:pPr>
      <w:r>
        <w:rPr>
          <w:rFonts w:hint="eastAsia"/>
        </w:rPr>
        <w:t>构建“快进”交通网络，加快实施池黄高铁、合池城际，加快建设S40宁国至枞阳高速（青阳段）、S36宣城至东至高速（青阳段），与G</w:t>
      </w:r>
      <w:r>
        <w:t>3</w:t>
      </w:r>
      <w:r>
        <w:rPr>
          <w:rFonts w:hint="eastAsia"/>
        </w:rPr>
        <w:t>京台高速共同组成“一纵一横一联”的高速公路旅游交通网。</w:t>
      </w:r>
    </w:p>
    <w:p>
      <w:pPr>
        <w:pStyle w:val="61"/>
        <w:spacing w:line="540" w:lineRule="exact"/>
        <w:ind w:firstLine="640"/>
      </w:pPr>
      <w:r>
        <w:rPr>
          <w:rFonts w:hint="eastAsia"/>
        </w:rPr>
        <w:t>建设集“吃住行游购娱”于一体的“慢游”交通网络。围绕“以九华山为龙头、多板块协同”旅游格局，加快推进S221（S358）青阳至红石、S219青阳蛤蟆岭至石台六都等旅游风景道建设。在普通公路沿线增设服务区、简易驿站和观景台等服务设施，优化乡村旅游公路，加快打造具有青阳文化特色的生态旅游目的地。</w:t>
      </w:r>
    </w:p>
    <w:p>
      <w:pPr>
        <w:pStyle w:val="59"/>
        <w:ind w:firstLine="640"/>
        <w:rPr>
          <w:rFonts w:hint="eastAsia" w:ascii="楷体_GB2312" w:hAnsi="楷体_GB2312" w:eastAsia="楷体_GB2312" w:cs="楷体_GB2312"/>
          <w:b/>
          <w:bCs w:val="0"/>
        </w:rPr>
      </w:pPr>
      <w:bookmarkStart w:id="82" w:name="_Toc104537517"/>
      <w:r>
        <w:rPr>
          <w:rFonts w:hint="eastAsia" w:ascii="楷体_GB2312" w:hAnsi="楷体_GB2312" w:eastAsia="楷体_GB2312" w:cs="楷体_GB2312"/>
          <w:b/>
          <w:bCs w:val="0"/>
        </w:rPr>
        <w:t>（三）打造“九华秘境”风景道</w:t>
      </w:r>
      <w:bookmarkEnd w:id="82"/>
    </w:p>
    <w:p>
      <w:pPr>
        <w:pStyle w:val="61"/>
        <w:spacing w:line="540" w:lineRule="exact"/>
        <w:ind w:firstLine="640"/>
      </w:pPr>
      <w:r>
        <w:rPr>
          <w:rFonts w:hint="eastAsia"/>
        </w:rPr>
        <w:t>九华秘境风景道是一条环九华山风景区的旅游廊道，由九华山游客中心为起点，连接S221省道，串联庙前镇、杜村乡、刘街、姚街，并转S225省道，串联棠溪镇、石门村，清泉村，然后至陵阳镇转S219省道往蓉城镇方向，并在蓉城镇接S221省道，最后回到九华山游客中心。全程123公里，车行耗时3小时12分。</w:t>
      </w: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640"/>
      </w:pPr>
    </w:p>
    <w:p>
      <w:pPr>
        <w:snapToGrid w:val="0"/>
        <w:spacing w:line="360" w:lineRule="auto"/>
        <w:jc w:val="center"/>
        <w:rPr>
          <w:rFonts w:ascii="黑体" w:hAnsi="宋体" w:eastAsia="黑体"/>
          <w:bCs/>
        </w:rPr>
      </w:pPr>
    </w:p>
    <w:p>
      <w:pPr>
        <w:snapToGrid w:val="0"/>
        <w:spacing w:line="360" w:lineRule="auto"/>
        <w:jc w:val="center"/>
        <w:rPr>
          <w:rFonts w:ascii="黑体" w:hAnsi="宋体" w:eastAsia="黑体"/>
          <w:bCs/>
        </w:rPr>
      </w:pPr>
    </w:p>
    <w:p>
      <w:pPr>
        <w:snapToGrid w:val="0"/>
        <w:spacing w:line="360" w:lineRule="auto"/>
        <w:jc w:val="center"/>
        <w:rPr>
          <w:rFonts w:ascii="黑体" w:hAnsi="宋体" w:eastAsia="黑体"/>
          <w:bCs/>
        </w:rPr>
      </w:pPr>
      <w:r>
        <w:rPr>
          <w:rFonts w:hint="eastAsia" w:ascii="黑体" w:hAnsi="宋体" w:eastAsia="黑体"/>
          <w:bCs/>
        </w:rPr>
        <w:drawing>
          <wp:anchor distT="0" distB="0" distL="114300" distR="114300" simplePos="0" relativeHeight="251661312" behindDoc="1" locked="0" layoutInCell="1" allowOverlap="1">
            <wp:simplePos x="0" y="0"/>
            <wp:positionH relativeFrom="column">
              <wp:posOffset>-40640</wp:posOffset>
            </wp:positionH>
            <wp:positionV relativeFrom="paragraph">
              <wp:posOffset>106045</wp:posOffset>
            </wp:positionV>
            <wp:extent cx="5584190" cy="3514725"/>
            <wp:effectExtent l="19050" t="0" r="0" b="0"/>
            <wp:wrapTight wrapText="bothSides">
              <wp:wrapPolygon>
                <wp:start x="-74" y="0"/>
                <wp:lineTo x="-74" y="21541"/>
                <wp:lineTo x="21590" y="21541"/>
                <wp:lineTo x="21590" y="0"/>
                <wp:lineTo x="-74" y="0"/>
              </wp:wrapPolygon>
            </wp:wrapTight>
            <wp:docPr id="2" name="图片 1" descr="文档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文档0.png"/>
                    <pic:cNvPicPr>
                      <a:picLocks noChangeAspect="1"/>
                    </pic:cNvPicPr>
                  </pic:nvPicPr>
                  <pic:blipFill>
                    <a:blip r:embed="rId12"/>
                    <a:stretch>
                      <a:fillRect/>
                    </a:stretch>
                  </pic:blipFill>
                  <pic:spPr>
                    <a:xfrm>
                      <a:off x="0" y="0"/>
                      <a:ext cx="5584190" cy="3514725"/>
                    </a:xfrm>
                    <a:prstGeom prst="rect">
                      <a:avLst/>
                    </a:prstGeom>
                  </pic:spPr>
                </pic:pic>
              </a:graphicData>
            </a:graphic>
          </wp:anchor>
        </w:drawing>
      </w:r>
      <w:r>
        <w:rPr>
          <w:rFonts w:hint="eastAsia" w:ascii="黑体" w:hAnsi="宋体" w:eastAsia="黑体"/>
          <w:bCs/>
        </w:rPr>
        <w:t>图4 青阳县“九华秘境”风景道</w:t>
      </w:r>
      <w:r>
        <w:rPr>
          <w:rFonts w:ascii="黑体" w:hAnsi="宋体" w:eastAsia="黑体"/>
          <w:bCs/>
        </w:rPr>
        <w:t>示意图</w:t>
      </w:r>
      <w:r>
        <w:br w:type="page"/>
      </w:r>
    </w:p>
    <w:p>
      <w:pPr>
        <w:pStyle w:val="61"/>
        <w:spacing w:line="540" w:lineRule="exact"/>
        <w:ind w:firstLine="640"/>
        <w:rPr>
          <w:szCs w:val="32"/>
        </w:rPr>
      </w:pPr>
    </w:p>
    <w:p>
      <w:pPr>
        <w:pStyle w:val="55"/>
        <w:spacing w:after="156" w:line="540" w:lineRule="exact"/>
        <w:rPr>
          <w:sz w:val="32"/>
          <w:szCs w:val="32"/>
        </w:rPr>
      </w:pPr>
      <w:bookmarkStart w:id="83" w:name="_Toc104537518"/>
      <w:r>
        <w:rPr>
          <w:rFonts w:hint="eastAsia"/>
          <w:sz w:val="32"/>
          <w:szCs w:val="32"/>
        </w:rPr>
        <w:t>第五章 保障措施</w:t>
      </w:r>
      <w:bookmarkEnd w:id="83"/>
    </w:p>
    <w:p>
      <w:pPr>
        <w:pStyle w:val="61"/>
        <w:spacing w:line="540" w:lineRule="exact"/>
        <w:ind w:firstLine="640"/>
        <w:rPr>
          <w:rFonts w:cs="黑体"/>
        </w:rPr>
      </w:pPr>
    </w:p>
    <w:p>
      <w:pPr>
        <w:pStyle w:val="57"/>
        <w:ind w:firstLine="640"/>
      </w:pPr>
      <w:bookmarkStart w:id="84" w:name="_Toc104537519"/>
      <w:bookmarkStart w:id="85" w:name="_Toc55485254"/>
      <w:bookmarkStart w:id="86" w:name="_Toc97394607"/>
      <w:bookmarkStart w:id="87" w:name="_Toc20139852"/>
      <w:bookmarkStart w:id="88" w:name="_Toc42087513"/>
      <w:bookmarkStart w:id="89" w:name="_Toc55485255"/>
      <w:r>
        <w:rPr>
          <w:rFonts w:hint="eastAsia"/>
        </w:rPr>
        <w:t>一、强化组织协调</w:t>
      </w:r>
      <w:bookmarkEnd w:id="84"/>
      <w:bookmarkEnd w:id="85"/>
      <w:bookmarkEnd w:id="86"/>
    </w:p>
    <w:p>
      <w:pPr>
        <w:pStyle w:val="61"/>
        <w:spacing w:line="540" w:lineRule="exact"/>
        <w:ind w:firstLine="640"/>
      </w:pPr>
      <w:r>
        <w:rPr>
          <w:rFonts w:hint="eastAsia"/>
        </w:rPr>
        <w:t>强化组织领导，分解落实规划目标和任务，明确规划项目推进责任主体，制定详细的年度推进计划，重点抓好重大项目、重大工程、重大政策的落实，为规划任务的有序推进提供组织保障和制度保障；加强部门协调，建立“以项目为导向”的协调机制，优化审批流程，保障相关要素供给。</w:t>
      </w:r>
    </w:p>
    <w:p>
      <w:pPr>
        <w:pStyle w:val="57"/>
        <w:ind w:firstLine="640"/>
        <w:rPr>
          <w:rFonts w:cs="黑体"/>
          <w:szCs w:val="30"/>
        </w:rPr>
      </w:pPr>
      <w:bookmarkStart w:id="90" w:name="_Toc104537520"/>
      <w:r>
        <w:rPr>
          <w:rFonts w:hint="eastAsia" w:cs="黑体"/>
          <w:szCs w:val="30"/>
        </w:rPr>
        <w:t>二、建立健全统一规划体系</w:t>
      </w:r>
      <w:bookmarkEnd w:id="90"/>
    </w:p>
    <w:p>
      <w:pPr>
        <w:pStyle w:val="61"/>
        <w:spacing w:line="540" w:lineRule="exact"/>
        <w:ind w:firstLine="640"/>
      </w:pPr>
      <w:r>
        <w:rPr>
          <w:rFonts w:hint="eastAsia"/>
        </w:rPr>
        <w:t>构建以县“十四五”发展规划为统领，县级“十四五”综合交通运输发展规划为基础，专项规划为支撑，定位准确、边界清晰、功能互补、统一衔接的县域规划体系。“十四五”综合交通运输发展规划明确交通战略格局、交通结构优化方向，聚焦交通设施建设强度管控，为规划确定的重大战略任务、重大工程项目落地提供空间保障。专项规划具体指导特定领域发展、布局重大工程项目。</w:t>
      </w:r>
    </w:p>
    <w:p>
      <w:pPr>
        <w:pStyle w:val="57"/>
        <w:ind w:firstLine="640"/>
        <w:rPr>
          <w:rFonts w:cs="黑体"/>
          <w:szCs w:val="30"/>
        </w:rPr>
      </w:pPr>
      <w:bookmarkStart w:id="91" w:name="_Toc104537521"/>
      <w:r>
        <w:rPr>
          <w:rFonts w:hint="eastAsia" w:cs="黑体"/>
          <w:szCs w:val="30"/>
        </w:rPr>
        <w:t>三、强化资金保障</w:t>
      </w:r>
      <w:bookmarkEnd w:id="91"/>
    </w:p>
    <w:p>
      <w:pPr>
        <w:pStyle w:val="61"/>
        <w:spacing w:line="540" w:lineRule="exact"/>
        <w:ind w:firstLine="640"/>
      </w:pPr>
      <w:r>
        <w:rPr>
          <w:rFonts w:hint="eastAsia"/>
        </w:rPr>
        <w:t>发挥开发性、政策性金融导向作用，积极争取项目资金，加大融资力度。支持企业通过发行企业债券等方式融资，扩大直接融资规模，用于重大工程项目建设。加强县区交通投融资平台建设，努力将交通基础设施建设纳入金融政策支持的重点领域，充分利用交通建设项目周边有升值潜力的土地资源，以相应加油站、加气站、广告为等资源，进行综合开发和资本运作，弥补交通建设资金不足。</w:t>
      </w:r>
    </w:p>
    <w:bookmarkEnd w:id="87"/>
    <w:bookmarkEnd w:id="88"/>
    <w:bookmarkEnd w:id="89"/>
    <w:p>
      <w:pPr>
        <w:pStyle w:val="57"/>
        <w:ind w:firstLine="640"/>
      </w:pPr>
      <w:bookmarkStart w:id="92" w:name="_Toc104537522"/>
      <w:r>
        <w:rPr>
          <w:rFonts w:hint="eastAsia"/>
        </w:rPr>
        <w:t>四、深化体制改革</w:t>
      </w:r>
      <w:bookmarkEnd w:id="92"/>
    </w:p>
    <w:p>
      <w:pPr>
        <w:pStyle w:val="61"/>
        <w:spacing w:line="540" w:lineRule="exact"/>
        <w:ind w:firstLine="640"/>
      </w:pPr>
      <w:r>
        <w:rPr>
          <w:rFonts w:hint="eastAsia"/>
        </w:rPr>
        <w:t>不断完善交通运输管理体制，建立适应交通运输发展要求的协调机制。深化道路养护体制改革，落实各级人民政府管理责任主体地位。坚持运用法治思维和法治方式推进改革，凡属重大改革都要于法有据；实践证明行之有效的，推动及时上升为法律法规；实践条件还不成熟、需要先行先试的，推动按照法定程序作出授权。对一些涉及面广、影响深远的重大建设项目，坚持加强顶层设计和实践探索相结合，兼顾各方利益，广泛凝聚共识，寻求“最大公约数”，切实把握好建设的力度和节奏，做到稳中求进。</w:t>
      </w: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640"/>
      </w:pPr>
    </w:p>
    <w:p>
      <w:pPr>
        <w:pStyle w:val="61"/>
        <w:spacing w:line="540" w:lineRule="exact"/>
        <w:ind w:firstLine="0" w:firstLineChars="0"/>
      </w:pPr>
    </w:p>
    <w:p>
      <w:pPr>
        <w:pStyle w:val="61"/>
        <w:spacing w:line="540" w:lineRule="exact"/>
        <w:ind w:firstLineChars="188"/>
        <w:sectPr>
          <w:pgSz w:w="11907" w:h="16840"/>
          <w:pgMar w:top="1440" w:right="1440" w:bottom="1440" w:left="1701" w:header="851" w:footer="992" w:gutter="0"/>
          <w:cols w:space="425" w:num="1"/>
          <w:docGrid w:type="lines" w:linePitch="312" w:charSpace="0"/>
        </w:sectPr>
      </w:pPr>
    </w:p>
    <w:p>
      <w:pPr>
        <w:pStyle w:val="2"/>
        <w:spacing w:before="0" w:after="0" w:line="360" w:lineRule="auto"/>
        <w:jc w:val="left"/>
        <w:rPr>
          <w:rFonts w:ascii="黑体" w:hAnsi="黑体" w:eastAsia="黑体"/>
          <w:b w:val="0"/>
          <w:sz w:val="28"/>
          <w:szCs w:val="28"/>
        </w:rPr>
      </w:pPr>
      <w:bookmarkStart w:id="93" w:name="_Toc99394935"/>
      <w:bookmarkStart w:id="94" w:name="_Toc104537523"/>
      <w:bookmarkStart w:id="95" w:name="_Toc48035600"/>
      <w:bookmarkStart w:id="96" w:name="_Toc47969276"/>
      <w:bookmarkStart w:id="97" w:name="_Toc48033413"/>
      <w:r>
        <w:rPr>
          <w:rFonts w:ascii="黑体" w:hAnsi="黑体" w:eastAsia="黑体"/>
          <w:b w:val="0"/>
          <w:sz w:val="28"/>
          <w:szCs w:val="28"/>
        </w:rPr>
        <w:t>附</w:t>
      </w:r>
      <w:r>
        <w:rPr>
          <w:rFonts w:hint="eastAsia" w:ascii="黑体" w:hAnsi="黑体" w:eastAsia="黑体"/>
          <w:b w:val="0"/>
          <w:sz w:val="28"/>
          <w:szCs w:val="28"/>
        </w:rPr>
        <w:t>表1：航空枢纽项目建设项目库</w:t>
      </w:r>
      <w:bookmarkEnd w:id="93"/>
      <w:bookmarkEnd w:id="94"/>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32"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青阳县通用机场</w:t>
            </w:r>
          </w:p>
        </w:tc>
        <w:tc>
          <w:tcPr>
            <w:tcW w:w="1837" w:type="pct"/>
            <w:vAlign w:val="center"/>
          </w:tcPr>
          <w:p>
            <w:pPr>
              <w:rPr>
                <w:rFonts w:ascii="仿宋_GB2312" w:eastAsia="仿宋_GB2312"/>
                <w:color w:val="000000"/>
              </w:rPr>
            </w:pPr>
            <w:r>
              <w:rPr>
                <w:rFonts w:hint="eastAsia" w:ascii="仿宋_GB2312" w:eastAsia="仿宋_GB2312"/>
                <w:color w:val="000000"/>
              </w:rPr>
              <w:t>A2级通用机场：占地500亩，新建一条1200米跑道，站坪，综合楼（含候机、塔台、航管、后勤保障中心等），机库，以及空管、助航灯光、供水、供电、消防等配套设施。</w:t>
            </w:r>
          </w:p>
        </w:tc>
        <w:tc>
          <w:tcPr>
            <w:tcW w:w="409" w:type="pct"/>
            <w:vAlign w:val="center"/>
          </w:tcPr>
          <w:p>
            <w:pPr>
              <w:jc w:val="center"/>
              <w:rPr>
                <w:rFonts w:ascii="仿宋_GB2312" w:eastAsia="仿宋_GB2312"/>
                <w:color w:val="000000"/>
              </w:rPr>
            </w:pPr>
            <w:r>
              <w:rPr>
                <w:rFonts w:hint="eastAsia" w:ascii="仿宋_GB2312" w:eastAsia="仿宋_GB2312"/>
                <w:color w:val="000000"/>
              </w:rPr>
              <w:t>5.0</w:t>
            </w:r>
          </w:p>
        </w:tc>
        <w:tc>
          <w:tcPr>
            <w:tcW w:w="512" w:type="pct"/>
            <w:vAlign w:val="center"/>
          </w:tcPr>
          <w:p>
            <w:pPr>
              <w:jc w:val="center"/>
              <w:rPr>
                <w:rFonts w:ascii="仿宋_GB2312" w:eastAsia="仿宋_GB2312"/>
                <w:color w:val="000000"/>
              </w:rPr>
            </w:pPr>
            <w:r>
              <w:rPr>
                <w:rFonts w:hint="eastAsia" w:ascii="仿宋_GB2312" w:eastAsia="仿宋_GB2312"/>
                <w:color w:val="000000"/>
              </w:rPr>
              <w:t>1.0</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2028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5.0</w:t>
            </w:r>
          </w:p>
        </w:tc>
        <w:tc>
          <w:tcPr>
            <w:tcW w:w="512" w:type="pct"/>
            <w:vAlign w:val="center"/>
          </w:tcPr>
          <w:p>
            <w:pPr>
              <w:jc w:val="center"/>
              <w:rPr>
                <w:rFonts w:ascii="仿宋_GB2312" w:eastAsia="仿宋_GB2312"/>
                <w:color w:val="000000"/>
              </w:rPr>
            </w:pPr>
            <w:r>
              <w:rPr>
                <w:rFonts w:hint="eastAsia" w:ascii="仿宋_GB2312" w:eastAsia="仿宋_GB2312"/>
                <w:color w:val="000000"/>
              </w:rPr>
              <w:t>1.0</w:t>
            </w:r>
          </w:p>
        </w:tc>
        <w:tc>
          <w:tcPr>
            <w:tcW w:w="920" w:type="pct"/>
            <w:gridSpan w:val="2"/>
            <w:vAlign w:val="center"/>
          </w:tcPr>
          <w:p>
            <w:pPr>
              <w:jc w:val="center"/>
              <w:rPr>
                <w:rFonts w:ascii="仿宋_GB2312" w:eastAsia="仿宋_GB2312"/>
                <w:color w:val="000000"/>
              </w:rPr>
            </w:pPr>
          </w:p>
        </w:tc>
      </w:tr>
    </w:tbl>
    <w:p/>
    <w:p>
      <w:pPr>
        <w:sectPr>
          <w:pgSz w:w="16839" w:h="11907" w:orient="landscape"/>
          <w:pgMar w:top="1800" w:right="1440" w:bottom="1800" w:left="1440" w:header="851" w:footer="992" w:gutter="0"/>
          <w:cols w:space="425" w:num="1"/>
          <w:docGrid w:type="lines" w:linePitch="312" w:charSpace="0"/>
        </w:sectPr>
      </w:pPr>
    </w:p>
    <w:p>
      <w:pPr>
        <w:pStyle w:val="2"/>
        <w:spacing w:before="0" w:after="0" w:line="360" w:lineRule="auto"/>
        <w:jc w:val="left"/>
        <w:rPr>
          <w:rFonts w:ascii="黑体" w:hAnsi="黑体" w:eastAsia="黑体"/>
          <w:b w:val="0"/>
          <w:sz w:val="28"/>
          <w:szCs w:val="28"/>
        </w:rPr>
      </w:pPr>
      <w:bookmarkStart w:id="98" w:name="_Toc99394936"/>
      <w:bookmarkStart w:id="99" w:name="_Toc104537524"/>
      <w:bookmarkStart w:id="100" w:name="_Toc49729167"/>
      <w:bookmarkStart w:id="101" w:name="_Toc49729273"/>
      <w:r>
        <w:rPr>
          <w:rFonts w:ascii="黑体" w:hAnsi="黑体" w:eastAsia="黑体"/>
          <w:b w:val="0"/>
          <w:sz w:val="28"/>
          <w:szCs w:val="28"/>
        </w:rPr>
        <w:t>附</w:t>
      </w:r>
      <w:r>
        <w:rPr>
          <w:rFonts w:hint="eastAsia" w:ascii="黑体" w:hAnsi="黑体" w:eastAsia="黑体"/>
          <w:b w:val="0"/>
          <w:sz w:val="28"/>
          <w:szCs w:val="28"/>
        </w:rPr>
        <w:t>表2：铁路项目建设项目库</w:t>
      </w:r>
      <w:bookmarkEnd w:id="98"/>
      <w:bookmarkEnd w:id="99"/>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11"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池黄高铁（青阳段）修建工程</w:t>
            </w:r>
          </w:p>
        </w:tc>
        <w:tc>
          <w:tcPr>
            <w:tcW w:w="1837" w:type="pct"/>
            <w:vAlign w:val="center"/>
          </w:tcPr>
          <w:p>
            <w:pPr>
              <w:rPr>
                <w:rFonts w:ascii="仿宋_GB2312" w:eastAsia="仿宋_GB2312"/>
                <w:color w:val="000000"/>
              </w:rPr>
            </w:pPr>
            <w:r>
              <w:rPr>
                <w:rFonts w:hint="eastAsia" w:ascii="仿宋_GB2312" w:eastAsia="仿宋_GB2312"/>
                <w:color w:val="000000"/>
              </w:rPr>
              <w:t>青阳段全长24.8公里，设计时速350公里，建设高铁九华山站。</w:t>
            </w:r>
          </w:p>
        </w:tc>
        <w:tc>
          <w:tcPr>
            <w:tcW w:w="409" w:type="pct"/>
            <w:vAlign w:val="center"/>
          </w:tcPr>
          <w:p>
            <w:pPr>
              <w:jc w:val="center"/>
              <w:rPr>
                <w:rFonts w:ascii="仿宋_GB2312" w:eastAsia="仿宋_GB2312"/>
                <w:color w:val="000000"/>
              </w:rPr>
            </w:pPr>
            <w:r>
              <w:rPr>
                <w:rFonts w:hint="eastAsia" w:ascii="仿宋_GB2312" w:eastAsia="仿宋_GB2312"/>
                <w:color w:val="000000"/>
              </w:rPr>
              <w:t>45.0</w:t>
            </w:r>
          </w:p>
        </w:tc>
        <w:tc>
          <w:tcPr>
            <w:tcW w:w="512" w:type="pct"/>
            <w:vAlign w:val="center"/>
          </w:tcPr>
          <w:p>
            <w:pPr>
              <w:jc w:val="center"/>
              <w:rPr>
                <w:rFonts w:ascii="仿宋_GB2312" w:eastAsia="仿宋_GB2312"/>
                <w:color w:val="000000"/>
              </w:rPr>
            </w:pPr>
            <w:r>
              <w:rPr>
                <w:rFonts w:hint="eastAsia" w:ascii="仿宋_GB2312" w:eastAsia="仿宋_GB2312"/>
                <w:color w:val="000000"/>
              </w:rPr>
              <w:t>45.0</w:t>
            </w:r>
          </w:p>
        </w:tc>
        <w:tc>
          <w:tcPr>
            <w:tcW w:w="461" w:type="pct"/>
            <w:vAlign w:val="center"/>
          </w:tcPr>
          <w:p>
            <w:pPr>
              <w:jc w:val="center"/>
              <w:rPr>
                <w:rFonts w:ascii="仿宋_GB2312" w:eastAsia="仿宋_GB2312"/>
                <w:color w:val="000000"/>
              </w:rPr>
            </w:pPr>
            <w:r>
              <w:rPr>
                <w:rFonts w:hint="eastAsia" w:ascii="仿宋_GB2312" w:eastAsia="仿宋_GB2312"/>
                <w:color w:val="000000"/>
              </w:rPr>
              <w:t>在建</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69"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合池城际铁路（青阳段）修建工程</w:t>
            </w:r>
          </w:p>
        </w:tc>
        <w:tc>
          <w:tcPr>
            <w:tcW w:w="1837" w:type="pct"/>
            <w:vAlign w:val="center"/>
          </w:tcPr>
          <w:p>
            <w:pPr>
              <w:rPr>
                <w:rFonts w:ascii="仿宋_GB2312" w:eastAsia="仿宋_GB2312"/>
                <w:color w:val="000000"/>
              </w:rPr>
            </w:pPr>
            <w:r>
              <w:rPr>
                <w:rFonts w:hint="eastAsia" w:ascii="仿宋_GB2312" w:eastAsia="仿宋_GB2312"/>
                <w:color w:val="000000"/>
              </w:rPr>
              <w:t>利用合安高铁合肥至庐江段，再由庐江西站引出向南，经池州长江公铁大桥过江至九华山、黄山，到达浙江金华。</w:t>
            </w:r>
          </w:p>
        </w:tc>
        <w:tc>
          <w:tcPr>
            <w:tcW w:w="409" w:type="pct"/>
            <w:vAlign w:val="center"/>
          </w:tcPr>
          <w:p>
            <w:pPr>
              <w:jc w:val="center"/>
              <w:rPr>
                <w:rFonts w:ascii="仿宋_GB2312" w:eastAsia="仿宋_GB2312"/>
                <w:color w:val="000000"/>
              </w:rPr>
            </w:pPr>
            <w:r>
              <w:rPr>
                <w:rFonts w:hint="eastAsia" w:ascii="仿宋_GB2312" w:eastAsia="仿宋_GB2312"/>
                <w:color w:val="000000"/>
              </w:rPr>
              <w:t>30.0</w:t>
            </w:r>
          </w:p>
        </w:tc>
        <w:tc>
          <w:tcPr>
            <w:tcW w:w="512" w:type="pct"/>
            <w:vAlign w:val="center"/>
          </w:tcPr>
          <w:p>
            <w:pPr>
              <w:jc w:val="center"/>
              <w:rPr>
                <w:rFonts w:ascii="仿宋_GB2312" w:eastAsia="仿宋_GB2312"/>
                <w:color w:val="000000"/>
              </w:rPr>
            </w:pPr>
            <w:r>
              <w:rPr>
                <w:rFonts w:hint="eastAsia" w:ascii="仿宋_GB2312" w:eastAsia="仿宋_GB2312"/>
                <w:color w:val="000000"/>
              </w:rPr>
              <w:t>30.0</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78" w:hRule="exac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青阳非金属材料铁路专用线</w:t>
            </w:r>
          </w:p>
        </w:tc>
        <w:tc>
          <w:tcPr>
            <w:tcW w:w="1837" w:type="pct"/>
            <w:vAlign w:val="center"/>
          </w:tcPr>
          <w:p>
            <w:pPr>
              <w:rPr>
                <w:rFonts w:hint="eastAsia" w:ascii="仿宋_GB2312" w:eastAsia="仿宋_GB2312"/>
                <w:color w:val="000000"/>
              </w:rPr>
            </w:pPr>
            <w:r>
              <w:rPr>
                <w:rFonts w:hint="eastAsia" w:ascii="仿宋_GB2312" w:eastAsia="仿宋_GB2312"/>
                <w:color w:val="000000"/>
              </w:rPr>
              <w:t>1、近期工程：花园站（含）～童埠站（含）（A2K0+000～A2K25+800）丁桥站（含）～童埠站（不含）（A2K0+000～A2K12+407.24）新建单线。</w:t>
            </w:r>
          </w:p>
          <w:p>
            <w:pPr>
              <w:rPr>
                <w:rFonts w:hint="eastAsia" w:ascii="仿宋_GB2312" w:eastAsia="仿宋_GB2312"/>
                <w:color w:val="000000"/>
              </w:rPr>
            </w:pPr>
            <w:r>
              <w:rPr>
                <w:rFonts w:hint="eastAsia" w:ascii="仿宋_GB2312" w:eastAsia="仿宋_GB2312"/>
                <w:color w:val="000000"/>
              </w:rPr>
              <w:t>2、远期工程:花园站（含）～童埠站（含）（A2K0+000～A2K25+800）新增复线；童埠站（不含）～梅龙港站（含）（A2K25+800～A2K54+903.98）新建双线。</w:t>
            </w:r>
          </w:p>
          <w:p>
            <w:pPr>
              <w:rPr>
                <w:rFonts w:ascii="仿宋_GB2312" w:eastAsia="仿宋_GB2312"/>
                <w:color w:val="000000"/>
              </w:rPr>
            </w:pPr>
            <w:r>
              <w:rPr>
                <w:rFonts w:hint="eastAsia" w:ascii="仿宋_GB2312" w:eastAsia="仿宋_GB2312"/>
                <w:color w:val="000000"/>
              </w:rPr>
              <w:t>3、铁路相关的配套工程。</w:t>
            </w:r>
          </w:p>
        </w:tc>
        <w:tc>
          <w:tcPr>
            <w:tcW w:w="409" w:type="pct"/>
            <w:vAlign w:val="center"/>
          </w:tcPr>
          <w:p>
            <w:pPr>
              <w:jc w:val="center"/>
              <w:rPr>
                <w:rFonts w:ascii="仿宋_GB2312" w:eastAsia="仿宋_GB2312"/>
                <w:color w:val="000000"/>
              </w:rPr>
            </w:pPr>
            <w:r>
              <w:rPr>
                <w:rFonts w:hint="eastAsia" w:ascii="仿宋_GB2312" w:eastAsia="仿宋_GB2312"/>
                <w:color w:val="000000"/>
              </w:rPr>
              <w:t>93.3</w:t>
            </w:r>
          </w:p>
        </w:tc>
        <w:tc>
          <w:tcPr>
            <w:tcW w:w="512" w:type="pct"/>
            <w:vAlign w:val="center"/>
          </w:tcPr>
          <w:p>
            <w:pPr>
              <w:jc w:val="center"/>
              <w:rPr>
                <w:rFonts w:ascii="仿宋_GB2312" w:eastAsia="仿宋_GB2312"/>
                <w:color w:val="000000"/>
              </w:rPr>
            </w:pPr>
            <w:r>
              <w:rPr>
                <w:rFonts w:hint="eastAsia" w:ascii="仿宋_GB2312" w:eastAsia="仿宋_GB2312"/>
                <w:color w:val="000000"/>
              </w:rPr>
              <w:t>46.3</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2035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168.3</w:t>
            </w:r>
          </w:p>
        </w:tc>
        <w:tc>
          <w:tcPr>
            <w:tcW w:w="512" w:type="pct"/>
            <w:vAlign w:val="center"/>
          </w:tcPr>
          <w:p>
            <w:pPr>
              <w:jc w:val="center"/>
              <w:rPr>
                <w:rFonts w:ascii="仿宋_GB2312" w:eastAsia="仿宋_GB2312"/>
                <w:color w:val="000000"/>
              </w:rPr>
            </w:pPr>
            <w:r>
              <w:rPr>
                <w:rFonts w:hint="eastAsia" w:ascii="仿宋_GB2312" w:eastAsia="仿宋_GB2312"/>
                <w:color w:val="000000"/>
              </w:rPr>
              <w:t>121.3</w:t>
            </w:r>
          </w:p>
        </w:tc>
        <w:tc>
          <w:tcPr>
            <w:tcW w:w="920" w:type="pct"/>
            <w:gridSpan w:val="2"/>
            <w:vAlign w:val="center"/>
          </w:tcPr>
          <w:p>
            <w:pPr>
              <w:jc w:val="center"/>
              <w:rPr>
                <w:rFonts w:ascii="仿宋_GB2312" w:eastAsia="仿宋_GB2312"/>
                <w:color w:val="000000"/>
              </w:rPr>
            </w:pPr>
          </w:p>
        </w:tc>
      </w:tr>
      <w:bookmarkEnd w:id="100"/>
      <w:bookmarkEnd w:id="101"/>
    </w:tbl>
    <w:p>
      <w:pPr>
        <w:pStyle w:val="2"/>
        <w:spacing w:before="0" w:after="0" w:line="360" w:lineRule="auto"/>
        <w:jc w:val="left"/>
        <w:rPr>
          <w:rFonts w:ascii="黑体" w:hAnsi="黑体" w:eastAsia="黑体"/>
          <w:b w:val="0"/>
          <w:sz w:val="28"/>
          <w:szCs w:val="28"/>
        </w:rPr>
      </w:pPr>
      <w:bookmarkStart w:id="102" w:name="_Toc104537525"/>
      <w:bookmarkStart w:id="103" w:name="_Toc99394937"/>
      <w:bookmarkStart w:id="104" w:name="_Toc49729168"/>
      <w:bookmarkStart w:id="105" w:name="_Toc49729274"/>
      <w:r>
        <w:rPr>
          <w:rFonts w:ascii="黑体" w:hAnsi="黑体" w:eastAsia="黑体"/>
          <w:b w:val="0"/>
          <w:sz w:val="28"/>
          <w:szCs w:val="28"/>
        </w:rPr>
        <w:t>附</w:t>
      </w:r>
      <w:r>
        <w:rPr>
          <w:rFonts w:hint="eastAsia" w:ascii="黑体" w:hAnsi="黑体" w:eastAsia="黑体"/>
          <w:b w:val="0"/>
          <w:sz w:val="28"/>
          <w:szCs w:val="28"/>
        </w:rPr>
        <w:t>表3：高速公路项目建设项目库</w:t>
      </w:r>
      <w:bookmarkEnd w:id="102"/>
      <w:bookmarkEnd w:id="103"/>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90"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S40宁国至枞阳（青阳段）项目</w:t>
            </w:r>
          </w:p>
        </w:tc>
        <w:tc>
          <w:tcPr>
            <w:tcW w:w="1837" w:type="pct"/>
            <w:vAlign w:val="center"/>
          </w:tcPr>
          <w:p>
            <w:pPr>
              <w:rPr>
                <w:rFonts w:ascii="仿宋_GB2312" w:eastAsia="仿宋_GB2312"/>
                <w:color w:val="000000"/>
              </w:rPr>
            </w:pPr>
            <w:r>
              <w:rPr>
                <w:rFonts w:hint="eastAsia" w:ascii="仿宋_GB2312" w:eastAsia="仿宋_GB2312"/>
                <w:color w:val="000000"/>
              </w:rPr>
              <w:t>青阳境内18.6公里，路基、桥涵、路面、附属工程。</w:t>
            </w:r>
          </w:p>
        </w:tc>
        <w:tc>
          <w:tcPr>
            <w:tcW w:w="409" w:type="pct"/>
            <w:vAlign w:val="center"/>
          </w:tcPr>
          <w:p>
            <w:pPr>
              <w:jc w:val="center"/>
              <w:rPr>
                <w:rFonts w:ascii="仿宋_GB2312" w:eastAsia="仿宋_GB2312"/>
                <w:color w:val="000000"/>
              </w:rPr>
            </w:pPr>
            <w:r>
              <w:rPr>
                <w:rFonts w:hint="eastAsia" w:ascii="仿宋_GB2312" w:eastAsia="仿宋_GB2312"/>
                <w:color w:val="000000"/>
              </w:rPr>
              <w:t>20.0</w:t>
            </w:r>
          </w:p>
        </w:tc>
        <w:tc>
          <w:tcPr>
            <w:tcW w:w="512" w:type="pct"/>
            <w:vAlign w:val="center"/>
          </w:tcPr>
          <w:p>
            <w:pPr>
              <w:jc w:val="center"/>
              <w:rPr>
                <w:rFonts w:ascii="仿宋_GB2312" w:eastAsia="仿宋_GB2312"/>
                <w:color w:val="000000"/>
              </w:rPr>
            </w:pPr>
            <w:r>
              <w:rPr>
                <w:rFonts w:hint="eastAsia" w:ascii="仿宋_GB2312" w:eastAsia="仿宋_GB2312"/>
                <w:color w:val="000000"/>
              </w:rPr>
              <w:t>20.0</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32"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S36宣城至东至（青阳段）项目</w:t>
            </w:r>
          </w:p>
        </w:tc>
        <w:tc>
          <w:tcPr>
            <w:tcW w:w="1837" w:type="pct"/>
            <w:vAlign w:val="center"/>
          </w:tcPr>
          <w:p>
            <w:pPr>
              <w:rPr>
                <w:rFonts w:ascii="仿宋_GB2312" w:eastAsia="仿宋_GB2312"/>
                <w:color w:val="000000"/>
              </w:rPr>
            </w:pPr>
            <w:r>
              <w:rPr>
                <w:rFonts w:hint="eastAsia" w:ascii="仿宋_GB2312" w:eastAsia="仿宋_GB2312"/>
                <w:color w:val="000000"/>
              </w:rPr>
              <w:t>青阳县境内10公里，终点在陵阳镇接G3高速，路基、桥涵、路面、附属工程。</w:t>
            </w:r>
          </w:p>
        </w:tc>
        <w:tc>
          <w:tcPr>
            <w:tcW w:w="409" w:type="pct"/>
            <w:vAlign w:val="center"/>
          </w:tcPr>
          <w:p>
            <w:pPr>
              <w:jc w:val="center"/>
              <w:rPr>
                <w:rFonts w:ascii="仿宋_GB2312" w:eastAsia="仿宋_GB2312"/>
                <w:color w:val="000000"/>
              </w:rPr>
            </w:pPr>
            <w:r>
              <w:rPr>
                <w:rFonts w:hint="eastAsia" w:ascii="仿宋_GB2312" w:eastAsia="仿宋_GB2312"/>
                <w:color w:val="000000"/>
              </w:rPr>
              <w:t>10.0</w:t>
            </w:r>
          </w:p>
        </w:tc>
        <w:tc>
          <w:tcPr>
            <w:tcW w:w="512" w:type="pct"/>
            <w:vAlign w:val="center"/>
          </w:tcPr>
          <w:p>
            <w:pPr>
              <w:jc w:val="center"/>
              <w:rPr>
                <w:rFonts w:ascii="仿宋_GB2312" w:eastAsia="仿宋_GB2312"/>
                <w:color w:val="000000"/>
              </w:rPr>
            </w:pPr>
            <w:r>
              <w:rPr>
                <w:rFonts w:hint="eastAsia" w:ascii="仿宋_GB2312" w:eastAsia="仿宋_GB2312"/>
                <w:color w:val="000000"/>
              </w:rPr>
              <w:t>4.0</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2027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8"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30.0</w:t>
            </w:r>
          </w:p>
        </w:tc>
        <w:tc>
          <w:tcPr>
            <w:tcW w:w="512" w:type="pct"/>
            <w:vAlign w:val="center"/>
          </w:tcPr>
          <w:p>
            <w:pPr>
              <w:jc w:val="center"/>
              <w:rPr>
                <w:rFonts w:ascii="仿宋_GB2312" w:eastAsia="仿宋_GB2312"/>
                <w:color w:val="000000"/>
              </w:rPr>
            </w:pPr>
            <w:r>
              <w:rPr>
                <w:rFonts w:hint="eastAsia" w:ascii="仿宋_GB2312" w:eastAsia="仿宋_GB2312"/>
                <w:color w:val="000000"/>
              </w:rPr>
              <w:t>24.0</w:t>
            </w:r>
          </w:p>
        </w:tc>
        <w:tc>
          <w:tcPr>
            <w:tcW w:w="920" w:type="pct"/>
            <w:gridSpan w:val="2"/>
            <w:vAlign w:val="center"/>
          </w:tcPr>
          <w:p>
            <w:pPr>
              <w:jc w:val="center"/>
              <w:rPr>
                <w:rFonts w:ascii="仿宋_GB2312" w:eastAsia="仿宋_GB2312"/>
                <w:color w:val="000000"/>
              </w:rPr>
            </w:pPr>
          </w:p>
        </w:tc>
      </w:tr>
    </w:tbl>
    <w:p>
      <w:pPr>
        <w:pStyle w:val="2"/>
        <w:spacing w:before="0" w:after="0" w:line="360" w:lineRule="auto"/>
        <w:jc w:val="left"/>
        <w:rPr>
          <w:rFonts w:ascii="黑体" w:hAnsi="黑体" w:eastAsia="黑体"/>
          <w:b w:val="0"/>
          <w:sz w:val="28"/>
          <w:szCs w:val="28"/>
        </w:rPr>
      </w:pPr>
    </w:p>
    <w:p/>
    <w:p/>
    <w:p/>
    <w:p/>
    <w:p/>
    <w:p/>
    <w:p/>
    <w:p>
      <w:pPr>
        <w:pStyle w:val="2"/>
        <w:spacing w:before="0" w:after="0" w:line="360" w:lineRule="auto"/>
        <w:jc w:val="left"/>
        <w:rPr>
          <w:rFonts w:ascii="黑体" w:hAnsi="黑体" w:eastAsia="黑体"/>
          <w:b w:val="0"/>
          <w:sz w:val="28"/>
          <w:szCs w:val="28"/>
        </w:rPr>
      </w:pPr>
      <w:bookmarkStart w:id="106" w:name="_Toc104537526"/>
      <w:bookmarkStart w:id="107" w:name="_Toc99394938"/>
      <w:r>
        <w:rPr>
          <w:rFonts w:ascii="黑体" w:hAnsi="黑体" w:eastAsia="黑体"/>
          <w:b w:val="0"/>
          <w:sz w:val="28"/>
          <w:szCs w:val="28"/>
        </w:rPr>
        <w:t>附</w:t>
      </w:r>
      <w:r>
        <w:rPr>
          <w:rFonts w:hint="eastAsia" w:ascii="黑体" w:hAnsi="黑体" w:eastAsia="黑体"/>
          <w:b w:val="0"/>
          <w:sz w:val="28"/>
          <w:szCs w:val="28"/>
        </w:rPr>
        <w:t>表4：国省干线项目建设项目库</w:t>
      </w:r>
      <w:bookmarkEnd w:id="106"/>
      <w:bookmarkEnd w:id="107"/>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一</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国道</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G318南陵界至木镇段改建工程</w:t>
            </w:r>
          </w:p>
        </w:tc>
        <w:tc>
          <w:tcPr>
            <w:tcW w:w="1837" w:type="pct"/>
            <w:vAlign w:val="center"/>
          </w:tcPr>
          <w:p>
            <w:pPr>
              <w:rPr>
                <w:rFonts w:ascii="仿宋_GB2312" w:eastAsia="仿宋_GB2312"/>
                <w:color w:val="000000"/>
              </w:rPr>
            </w:pPr>
            <w:r>
              <w:rPr>
                <w:rFonts w:hint="eastAsia" w:ascii="仿宋_GB2312" w:eastAsia="仿宋_GB2312"/>
                <w:color w:val="000000"/>
              </w:rPr>
              <w:t>双四一级公路，长12.8公里。</w:t>
            </w:r>
          </w:p>
        </w:tc>
        <w:tc>
          <w:tcPr>
            <w:tcW w:w="409" w:type="pct"/>
            <w:vAlign w:val="center"/>
          </w:tcPr>
          <w:p>
            <w:pPr>
              <w:jc w:val="center"/>
              <w:rPr>
                <w:rFonts w:ascii="仿宋_GB2312" w:eastAsia="仿宋_GB2312"/>
                <w:color w:val="000000"/>
              </w:rPr>
            </w:pPr>
            <w:r>
              <w:rPr>
                <w:rFonts w:hint="eastAsia" w:ascii="仿宋_GB2312" w:eastAsia="仿宋_GB2312"/>
                <w:color w:val="000000"/>
              </w:rPr>
              <w:t>4.1</w:t>
            </w:r>
          </w:p>
        </w:tc>
        <w:tc>
          <w:tcPr>
            <w:tcW w:w="512" w:type="pct"/>
            <w:vAlign w:val="center"/>
          </w:tcPr>
          <w:p>
            <w:pPr>
              <w:jc w:val="center"/>
              <w:rPr>
                <w:rFonts w:ascii="仿宋_GB2312" w:eastAsia="仿宋_GB2312"/>
                <w:color w:val="000000"/>
              </w:rPr>
            </w:pPr>
            <w:r>
              <w:rPr>
                <w:rFonts w:hint="eastAsia" w:ascii="仿宋_GB2312" w:eastAsia="仿宋_GB2312"/>
                <w:color w:val="000000"/>
              </w:rPr>
              <w:t>1.66</w:t>
            </w:r>
          </w:p>
        </w:tc>
        <w:tc>
          <w:tcPr>
            <w:tcW w:w="461" w:type="pct"/>
            <w:vAlign w:val="center"/>
          </w:tcPr>
          <w:p>
            <w:pPr>
              <w:jc w:val="center"/>
              <w:rPr>
                <w:rFonts w:ascii="仿宋_GB2312" w:eastAsia="仿宋_GB2312"/>
                <w:color w:val="000000"/>
              </w:rPr>
            </w:pPr>
            <w:r>
              <w:rPr>
                <w:rFonts w:hint="eastAsia" w:ascii="仿宋_GB2312" w:eastAsia="仿宋_GB2312"/>
                <w:color w:val="000000"/>
              </w:rPr>
              <w:t>在建</w:t>
            </w:r>
          </w:p>
        </w:tc>
        <w:tc>
          <w:tcPr>
            <w:tcW w:w="459" w:type="pct"/>
            <w:vAlign w:val="center"/>
          </w:tcPr>
          <w:p>
            <w:pPr>
              <w:jc w:val="center"/>
              <w:rPr>
                <w:rFonts w:ascii="仿宋_GB2312" w:eastAsia="仿宋_GB2312"/>
                <w:color w:val="000000"/>
              </w:rPr>
            </w:pPr>
            <w:r>
              <w:rPr>
                <w:rFonts w:hint="eastAsia" w:ascii="仿宋_GB2312" w:eastAsia="仿宋_GB2312"/>
                <w:color w:val="000000"/>
              </w:rPr>
              <w:t>2021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G330蛤蟆岭至蓉城段改建工程</w:t>
            </w:r>
          </w:p>
        </w:tc>
        <w:tc>
          <w:tcPr>
            <w:tcW w:w="1837" w:type="pct"/>
            <w:vAlign w:val="center"/>
          </w:tcPr>
          <w:p>
            <w:pPr>
              <w:rPr>
                <w:rFonts w:ascii="仿宋_GB2312" w:eastAsia="仿宋_GB2312"/>
                <w:color w:val="000000"/>
              </w:rPr>
            </w:pPr>
            <w:r>
              <w:rPr>
                <w:rFonts w:hint="eastAsia" w:ascii="仿宋_GB2312" w:eastAsia="仿宋_GB2312"/>
                <w:color w:val="000000"/>
              </w:rPr>
              <w:t>双四一级公路，长32.5公里（东外环7公里）。</w:t>
            </w:r>
          </w:p>
        </w:tc>
        <w:tc>
          <w:tcPr>
            <w:tcW w:w="409" w:type="pct"/>
            <w:vAlign w:val="center"/>
          </w:tcPr>
          <w:p>
            <w:pPr>
              <w:jc w:val="center"/>
              <w:rPr>
                <w:rFonts w:ascii="仿宋_GB2312" w:eastAsia="仿宋_GB2312"/>
                <w:color w:val="000000"/>
              </w:rPr>
            </w:pPr>
            <w:r>
              <w:rPr>
                <w:rFonts w:hint="eastAsia" w:ascii="仿宋_GB2312" w:eastAsia="仿宋_GB2312"/>
                <w:color w:val="000000"/>
              </w:rPr>
              <w:t>15.0</w:t>
            </w:r>
          </w:p>
        </w:tc>
        <w:tc>
          <w:tcPr>
            <w:tcW w:w="512" w:type="pct"/>
            <w:vAlign w:val="center"/>
          </w:tcPr>
          <w:p>
            <w:pPr>
              <w:jc w:val="center"/>
              <w:rPr>
                <w:rFonts w:ascii="仿宋_GB2312" w:eastAsia="仿宋_GB2312"/>
                <w:color w:val="000000"/>
              </w:rPr>
            </w:pPr>
            <w:r>
              <w:rPr>
                <w:rFonts w:hint="eastAsia" w:ascii="仿宋_GB2312" w:eastAsia="仿宋_GB2312"/>
                <w:color w:val="000000"/>
              </w:rPr>
              <w:t>5.0</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2027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G3京台高速青阳出口区域交通优化提升工程</w:t>
            </w:r>
          </w:p>
        </w:tc>
        <w:tc>
          <w:tcPr>
            <w:tcW w:w="1837" w:type="pct"/>
            <w:vAlign w:val="center"/>
          </w:tcPr>
          <w:p>
            <w:pPr>
              <w:rPr>
                <w:rFonts w:ascii="仿宋_GB2312" w:eastAsia="仿宋_GB2312"/>
                <w:color w:val="000000"/>
              </w:rPr>
            </w:pPr>
            <w:r>
              <w:rPr>
                <w:rFonts w:hint="eastAsia" w:ascii="仿宋_GB2312" w:eastAsia="仿宋_GB2312"/>
                <w:color w:val="000000"/>
              </w:rPr>
              <w:t>青阳高速口至宾阳路段，全长0.45公里，双六一级公路兼城市主干路标准，新建1.2公里三级公路绕行。</w:t>
            </w:r>
          </w:p>
          <w:p>
            <w:pPr>
              <w:rPr>
                <w:rFonts w:ascii="仿宋_GB2312" w:eastAsia="仿宋_GB2312"/>
                <w:color w:val="000000"/>
              </w:rPr>
            </w:pPr>
            <w:r>
              <w:rPr>
                <w:rFonts w:hint="eastAsia" w:ascii="仿宋_GB2312" w:eastAsia="仿宋_GB2312"/>
                <w:color w:val="000000"/>
              </w:rPr>
              <w:t>平岗路延伸段，全长1.25公里，三级公路，路面宽度14.0米，路基宽度16.0米。</w:t>
            </w:r>
          </w:p>
        </w:tc>
        <w:tc>
          <w:tcPr>
            <w:tcW w:w="409" w:type="pct"/>
            <w:vAlign w:val="center"/>
          </w:tcPr>
          <w:p>
            <w:pPr>
              <w:jc w:val="center"/>
              <w:rPr>
                <w:rFonts w:ascii="仿宋_GB2312" w:eastAsia="仿宋_GB2312"/>
                <w:color w:val="000000"/>
              </w:rPr>
            </w:pPr>
            <w:r>
              <w:rPr>
                <w:rFonts w:hint="eastAsia" w:ascii="仿宋_GB2312" w:eastAsia="仿宋_GB2312"/>
                <w:color w:val="000000"/>
              </w:rPr>
              <w:t>0.34</w:t>
            </w:r>
          </w:p>
        </w:tc>
        <w:tc>
          <w:tcPr>
            <w:tcW w:w="512" w:type="pct"/>
            <w:vAlign w:val="center"/>
          </w:tcPr>
          <w:p>
            <w:pPr>
              <w:jc w:val="center"/>
              <w:rPr>
                <w:rFonts w:ascii="仿宋_GB2312" w:eastAsia="仿宋_GB2312"/>
                <w:color w:val="000000"/>
              </w:rPr>
            </w:pPr>
            <w:r>
              <w:rPr>
                <w:rFonts w:hint="eastAsia" w:ascii="仿宋_GB2312" w:eastAsia="仿宋_GB2312"/>
                <w:color w:val="000000"/>
              </w:rPr>
              <w:t>0.34</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4</w:t>
            </w:r>
          </w:p>
        </w:tc>
        <w:tc>
          <w:tcPr>
            <w:tcW w:w="870" w:type="pct"/>
            <w:vAlign w:val="center"/>
          </w:tcPr>
          <w:p>
            <w:pPr>
              <w:jc w:val="center"/>
              <w:rPr>
                <w:rFonts w:ascii="仿宋_GB2312" w:eastAsia="仿宋_GB2312"/>
                <w:color w:val="000000"/>
              </w:rPr>
            </w:pPr>
            <w:r>
              <w:rPr>
                <w:rFonts w:hint="eastAsia" w:ascii="仿宋_GB2312" w:eastAsia="仿宋_GB2312"/>
                <w:color w:val="000000"/>
              </w:rPr>
              <w:t>G3京台高速青阳北出口项目</w:t>
            </w:r>
          </w:p>
        </w:tc>
        <w:tc>
          <w:tcPr>
            <w:tcW w:w="1837" w:type="pct"/>
            <w:vAlign w:val="center"/>
          </w:tcPr>
          <w:p>
            <w:pPr>
              <w:rPr>
                <w:rFonts w:ascii="仿宋_GB2312" w:eastAsia="仿宋_GB2312"/>
                <w:color w:val="000000"/>
              </w:rPr>
            </w:pPr>
            <w:r>
              <w:rPr>
                <w:rFonts w:hint="eastAsia" w:ascii="仿宋_GB2312" w:eastAsia="仿宋_GB2312"/>
                <w:color w:val="000000"/>
              </w:rPr>
              <w:t>G3高速公路青阳北增设出口和匝道设施建设。</w:t>
            </w:r>
          </w:p>
        </w:tc>
        <w:tc>
          <w:tcPr>
            <w:tcW w:w="409" w:type="pct"/>
            <w:vAlign w:val="center"/>
          </w:tcPr>
          <w:p>
            <w:pPr>
              <w:jc w:val="center"/>
              <w:rPr>
                <w:rFonts w:ascii="仿宋_GB2312" w:eastAsia="仿宋_GB2312"/>
                <w:color w:val="000000"/>
              </w:rPr>
            </w:pPr>
            <w:r>
              <w:rPr>
                <w:rFonts w:hint="eastAsia" w:ascii="仿宋_GB2312" w:eastAsia="仿宋_GB2312"/>
                <w:color w:val="000000"/>
              </w:rPr>
              <w:t>1.5</w:t>
            </w:r>
          </w:p>
        </w:tc>
        <w:tc>
          <w:tcPr>
            <w:tcW w:w="512" w:type="pct"/>
            <w:vAlign w:val="center"/>
          </w:tcPr>
          <w:p>
            <w:pPr>
              <w:jc w:val="center"/>
              <w:rPr>
                <w:rFonts w:ascii="仿宋_GB2312" w:eastAsia="仿宋_GB2312"/>
                <w:color w:val="000000"/>
              </w:rPr>
            </w:pPr>
            <w:r>
              <w:rPr>
                <w:rFonts w:hint="eastAsia" w:ascii="仿宋_GB2312" w:eastAsia="仿宋_GB2312"/>
                <w:color w:val="000000"/>
              </w:rPr>
              <w:t>0.5</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2027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5</w:t>
            </w:r>
          </w:p>
        </w:tc>
        <w:tc>
          <w:tcPr>
            <w:tcW w:w="870" w:type="pct"/>
            <w:vAlign w:val="center"/>
          </w:tcPr>
          <w:p>
            <w:pPr>
              <w:jc w:val="center"/>
              <w:rPr>
                <w:rFonts w:ascii="仿宋_GB2312" w:eastAsia="仿宋_GB2312"/>
                <w:color w:val="000000"/>
              </w:rPr>
            </w:pPr>
            <w:r>
              <w:rPr>
                <w:rFonts w:ascii="仿宋_GB2312" w:eastAsia="仿宋_GB2312"/>
                <w:color w:val="000000"/>
              </w:rPr>
              <w:t>G318/G330青阳大转盘改造</w:t>
            </w:r>
            <w:r>
              <w:rPr>
                <w:rFonts w:hint="eastAsia" w:ascii="仿宋_GB2312" w:eastAsia="仿宋_GB2312"/>
                <w:color w:val="000000"/>
              </w:rPr>
              <w:t>工程</w:t>
            </w:r>
          </w:p>
        </w:tc>
        <w:tc>
          <w:tcPr>
            <w:tcW w:w="1837" w:type="pct"/>
            <w:vAlign w:val="center"/>
          </w:tcPr>
          <w:p>
            <w:pPr>
              <w:rPr>
                <w:rFonts w:ascii="仿宋_GB2312" w:eastAsia="仿宋_GB2312"/>
                <w:color w:val="000000"/>
              </w:rPr>
            </w:pPr>
            <w:r>
              <w:rPr>
                <w:rFonts w:hint="eastAsia" w:ascii="仿宋_GB2312" w:eastAsia="仿宋_GB2312"/>
                <w:color w:val="000000"/>
              </w:rPr>
              <w:t>交安设施及路面提升改造。</w:t>
            </w:r>
          </w:p>
        </w:tc>
        <w:tc>
          <w:tcPr>
            <w:tcW w:w="409" w:type="pct"/>
            <w:vAlign w:val="center"/>
          </w:tcPr>
          <w:p>
            <w:pPr>
              <w:jc w:val="center"/>
              <w:rPr>
                <w:rFonts w:ascii="仿宋_GB2312" w:eastAsia="仿宋_GB2312"/>
                <w:color w:val="000000"/>
              </w:rPr>
            </w:pPr>
            <w:r>
              <w:rPr>
                <w:rFonts w:hint="eastAsia" w:ascii="仿宋_GB2312" w:eastAsia="仿宋_GB2312"/>
                <w:color w:val="000000"/>
              </w:rPr>
              <w:t>0.1</w:t>
            </w:r>
          </w:p>
        </w:tc>
        <w:tc>
          <w:tcPr>
            <w:tcW w:w="512" w:type="pct"/>
            <w:vAlign w:val="center"/>
          </w:tcPr>
          <w:p>
            <w:pPr>
              <w:jc w:val="center"/>
              <w:rPr>
                <w:rFonts w:ascii="仿宋_GB2312" w:eastAsia="仿宋_GB2312"/>
                <w:color w:val="000000"/>
              </w:rPr>
            </w:pPr>
            <w:r>
              <w:rPr>
                <w:rFonts w:hint="eastAsia" w:ascii="仿宋_GB2312" w:eastAsia="仿宋_GB2312"/>
                <w:color w:val="000000"/>
              </w:rPr>
              <w:t>0.1</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21.04</w:t>
            </w:r>
          </w:p>
        </w:tc>
        <w:tc>
          <w:tcPr>
            <w:tcW w:w="512" w:type="pct"/>
            <w:vAlign w:val="center"/>
          </w:tcPr>
          <w:p>
            <w:pPr>
              <w:jc w:val="center"/>
              <w:rPr>
                <w:rFonts w:ascii="仿宋_GB2312" w:eastAsia="仿宋_GB2312"/>
                <w:color w:val="000000"/>
              </w:rPr>
            </w:pPr>
            <w:r>
              <w:rPr>
                <w:rFonts w:hint="eastAsia" w:ascii="仿宋_GB2312" w:eastAsia="仿宋_GB2312"/>
                <w:color w:val="000000"/>
              </w:rPr>
              <w:t>7.6</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二</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省道</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S221（S358）青石公路（青阳段）改建工程</w:t>
            </w:r>
          </w:p>
        </w:tc>
        <w:tc>
          <w:tcPr>
            <w:tcW w:w="1837" w:type="pct"/>
            <w:vAlign w:val="center"/>
          </w:tcPr>
          <w:p>
            <w:pPr>
              <w:rPr>
                <w:rFonts w:ascii="仿宋_GB2312" w:eastAsia="仿宋_GB2312"/>
                <w:color w:val="000000"/>
              </w:rPr>
            </w:pPr>
            <w:r>
              <w:rPr>
                <w:rFonts w:hint="eastAsia" w:ascii="仿宋_GB2312" w:eastAsia="仿宋_GB2312"/>
                <w:color w:val="000000"/>
              </w:rPr>
              <w:t>二级公路，20.45公里。</w:t>
            </w:r>
          </w:p>
        </w:tc>
        <w:tc>
          <w:tcPr>
            <w:tcW w:w="409" w:type="pct"/>
            <w:vAlign w:val="center"/>
          </w:tcPr>
          <w:p>
            <w:pPr>
              <w:jc w:val="center"/>
              <w:rPr>
                <w:rFonts w:ascii="仿宋_GB2312" w:eastAsia="仿宋_GB2312"/>
                <w:color w:val="000000"/>
              </w:rPr>
            </w:pPr>
            <w:r>
              <w:rPr>
                <w:rFonts w:hint="eastAsia" w:ascii="仿宋_GB2312" w:eastAsia="仿宋_GB2312"/>
                <w:color w:val="000000"/>
              </w:rPr>
              <w:t>8.91</w:t>
            </w:r>
          </w:p>
        </w:tc>
        <w:tc>
          <w:tcPr>
            <w:tcW w:w="512" w:type="pct"/>
            <w:vAlign w:val="center"/>
          </w:tcPr>
          <w:p>
            <w:pPr>
              <w:jc w:val="center"/>
              <w:rPr>
                <w:rFonts w:ascii="仿宋_GB2312" w:eastAsia="仿宋_GB2312"/>
                <w:color w:val="000000"/>
              </w:rPr>
            </w:pPr>
            <w:r>
              <w:rPr>
                <w:rFonts w:hint="eastAsia" w:ascii="仿宋_GB2312" w:eastAsia="仿宋_GB2312"/>
                <w:color w:val="000000"/>
              </w:rPr>
              <w:t>8.91</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17"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S219青阳蛤蟆岭至石台六都段改建工程(一期）</w:t>
            </w:r>
          </w:p>
        </w:tc>
        <w:tc>
          <w:tcPr>
            <w:tcW w:w="1837" w:type="pct"/>
            <w:vAlign w:val="center"/>
          </w:tcPr>
          <w:p>
            <w:pPr>
              <w:rPr>
                <w:rFonts w:ascii="仿宋_GB2312" w:eastAsia="仿宋_GB2312"/>
                <w:color w:val="000000"/>
              </w:rPr>
            </w:pPr>
            <w:r>
              <w:rPr>
                <w:rFonts w:hint="eastAsia" w:ascii="仿宋_GB2312" w:eastAsia="仿宋_GB2312"/>
                <w:color w:val="000000"/>
              </w:rPr>
              <w:t>一级公路，约27.3公里。</w:t>
            </w:r>
          </w:p>
        </w:tc>
        <w:tc>
          <w:tcPr>
            <w:tcW w:w="409" w:type="pct"/>
            <w:vAlign w:val="center"/>
          </w:tcPr>
          <w:p>
            <w:pPr>
              <w:jc w:val="center"/>
              <w:rPr>
                <w:rFonts w:ascii="仿宋_GB2312" w:eastAsia="仿宋_GB2312"/>
                <w:color w:val="000000"/>
              </w:rPr>
            </w:pPr>
            <w:r>
              <w:rPr>
                <w:rFonts w:hint="eastAsia" w:ascii="仿宋_GB2312" w:eastAsia="仿宋_GB2312"/>
                <w:color w:val="000000"/>
              </w:rPr>
              <w:t>11.5</w:t>
            </w:r>
          </w:p>
        </w:tc>
        <w:tc>
          <w:tcPr>
            <w:tcW w:w="512" w:type="pct"/>
            <w:vAlign w:val="center"/>
          </w:tcPr>
          <w:p>
            <w:pPr>
              <w:jc w:val="center"/>
              <w:rPr>
                <w:rFonts w:ascii="仿宋_GB2312" w:eastAsia="仿宋_GB2312"/>
                <w:color w:val="000000"/>
              </w:rPr>
            </w:pPr>
            <w:r>
              <w:rPr>
                <w:rFonts w:hint="eastAsia" w:ascii="仿宋_GB2312" w:eastAsia="仿宋_GB2312"/>
                <w:color w:val="000000"/>
              </w:rPr>
              <w:t>11.5</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17"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S219青阳蛤蟆岭至石台六都段改建工程(二期）</w:t>
            </w:r>
          </w:p>
        </w:tc>
        <w:tc>
          <w:tcPr>
            <w:tcW w:w="1837" w:type="pct"/>
            <w:vAlign w:val="center"/>
          </w:tcPr>
          <w:p>
            <w:pPr>
              <w:rPr>
                <w:rFonts w:ascii="仿宋_GB2312" w:eastAsia="仿宋_GB2312"/>
                <w:color w:val="000000"/>
              </w:rPr>
            </w:pPr>
            <w:r>
              <w:rPr>
                <w:rFonts w:hint="eastAsia" w:ascii="仿宋_GB2312" w:eastAsia="仿宋_GB2312"/>
                <w:color w:val="000000"/>
              </w:rPr>
              <w:t>二级公路，约33.2公里。</w:t>
            </w:r>
          </w:p>
        </w:tc>
        <w:tc>
          <w:tcPr>
            <w:tcW w:w="409" w:type="pct"/>
            <w:vAlign w:val="center"/>
          </w:tcPr>
          <w:p>
            <w:pPr>
              <w:jc w:val="center"/>
              <w:rPr>
                <w:rFonts w:ascii="仿宋_GB2312" w:eastAsia="仿宋_GB2312"/>
                <w:color w:val="000000"/>
              </w:rPr>
            </w:pPr>
            <w:r>
              <w:rPr>
                <w:rFonts w:hint="eastAsia" w:ascii="仿宋_GB2312" w:eastAsia="仿宋_GB2312"/>
                <w:color w:val="000000"/>
              </w:rPr>
              <w:t>6.49</w:t>
            </w:r>
          </w:p>
        </w:tc>
        <w:tc>
          <w:tcPr>
            <w:tcW w:w="512" w:type="pct"/>
            <w:vAlign w:val="center"/>
          </w:tcPr>
          <w:p>
            <w:pPr>
              <w:jc w:val="center"/>
              <w:rPr>
                <w:rFonts w:ascii="仿宋_GB2312" w:eastAsia="仿宋_GB2312"/>
                <w:color w:val="000000"/>
              </w:rPr>
            </w:pPr>
            <w:r>
              <w:rPr>
                <w:rFonts w:hint="eastAsia" w:ascii="仿宋_GB2312" w:eastAsia="仿宋_GB2312"/>
                <w:color w:val="000000"/>
              </w:rPr>
              <w:t>2.0</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2027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4</w:t>
            </w:r>
          </w:p>
        </w:tc>
        <w:tc>
          <w:tcPr>
            <w:tcW w:w="870" w:type="pct"/>
            <w:vAlign w:val="center"/>
          </w:tcPr>
          <w:p>
            <w:pPr>
              <w:jc w:val="center"/>
              <w:rPr>
                <w:rFonts w:ascii="仿宋_GB2312" w:eastAsia="仿宋_GB2312"/>
                <w:color w:val="000000"/>
              </w:rPr>
            </w:pPr>
            <w:r>
              <w:rPr>
                <w:rFonts w:hint="eastAsia" w:ascii="仿宋_GB2312" w:eastAsia="仿宋_GB2312"/>
                <w:color w:val="000000"/>
              </w:rPr>
              <w:t>S221青阳至桐梓山建设项目（镁都大道）</w:t>
            </w:r>
          </w:p>
        </w:tc>
        <w:tc>
          <w:tcPr>
            <w:tcW w:w="1837" w:type="pct"/>
            <w:vAlign w:val="center"/>
          </w:tcPr>
          <w:p>
            <w:pPr>
              <w:rPr>
                <w:rFonts w:ascii="仿宋_GB2312" w:eastAsia="仿宋_GB2312"/>
                <w:color w:val="000000"/>
              </w:rPr>
            </w:pPr>
            <w:r>
              <w:rPr>
                <w:rFonts w:hint="eastAsia" w:ascii="仿宋_GB2312" w:eastAsia="仿宋_GB2312"/>
                <w:color w:val="000000"/>
              </w:rPr>
              <w:t>二级公路，约1.0公里。</w:t>
            </w:r>
          </w:p>
        </w:tc>
        <w:tc>
          <w:tcPr>
            <w:tcW w:w="409" w:type="pct"/>
            <w:vAlign w:val="center"/>
          </w:tcPr>
          <w:p>
            <w:pPr>
              <w:jc w:val="center"/>
              <w:rPr>
                <w:rFonts w:ascii="仿宋_GB2312" w:eastAsia="仿宋_GB2312"/>
                <w:color w:val="000000"/>
              </w:rPr>
            </w:pPr>
            <w:r>
              <w:rPr>
                <w:rFonts w:hint="eastAsia" w:ascii="仿宋_GB2312" w:eastAsia="仿宋_GB2312"/>
                <w:color w:val="000000"/>
              </w:rPr>
              <w:t>0.8</w:t>
            </w:r>
          </w:p>
        </w:tc>
        <w:tc>
          <w:tcPr>
            <w:tcW w:w="512" w:type="pct"/>
            <w:vAlign w:val="center"/>
          </w:tcPr>
          <w:p>
            <w:pPr>
              <w:jc w:val="center"/>
              <w:rPr>
                <w:rFonts w:ascii="仿宋_GB2312" w:eastAsia="仿宋_GB2312"/>
                <w:color w:val="000000"/>
              </w:rPr>
            </w:pPr>
            <w:r>
              <w:rPr>
                <w:rFonts w:hint="eastAsia" w:ascii="仿宋_GB2312" w:eastAsia="仿宋_GB2312"/>
                <w:color w:val="000000"/>
              </w:rPr>
              <w:t>0.8</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2027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5</w:t>
            </w:r>
          </w:p>
        </w:tc>
        <w:tc>
          <w:tcPr>
            <w:tcW w:w="870" w:type="pct"/>
            <w:vAlign w:val="center"/>
          </w:tcPr>
          <w:p>
            <w:pPr>
              <w:jc w:val="center"/>
              <w:rPr>
                <w:rFonts w:ascii="仿宋_GB2312" w:eastAsia="仿宋_GB2312"/>
                <w:color w:val="000000"/>
              </w:rPr>
            </w:pPr>
            <w:r>
              <w:rPr>
                <w:rFonts w:hint="eastAsia" w:ascii="仿宋_GB2312" w:eastAsia="仿宋_GB2312"/>
                <w:color w:val="000000"/>
              </w:rPr>
              <w:t>S463南陵至丁桥段改造工程</w:t>
            </w:r>
          </w:p>
        </w:tc>
        <w:tc>
          <w:tcPr>
            <w:tcW w:w="1837" w:type="pct"/>
            <w:vAlign w:val="center"/>
          </w:tcPr>
          <w:p>
            <w:pPr>
              <w:rPr>
                <w:rFonts w:ascii="仿宋_GB2312" w:eastAsia="仿宋_GB2312"/>
                <w:color w:val="000000"/>
              </w:rPr>
            </w:pPr>
            <w:r>
              <w:rPr>
                <w:rFonts w:hint="eastAsia" w:ascii="仿宋_GB2312" w:eastAsia="仿宋_GB2312"/>
                <w:color w:val="000000"/>
              </w:rPr>
              <w:t>二级公路，约10.9公里。</w:t>
            </w:r>
          </w:p>
        </w:tc>
        <w:tc>
          <w:tcPr>
            <w:tcW w:w="409" w:type="pct"/>
            <w:vAlign w:val="center"/>
          </w:tcPr>
          <w:p>
            <w:pPr>
              <w:jc w:val="center"/>
              <w:rPr>
                <w:rFonts w:ascii="仿宋_GB2312" w:eastAsia="仿宋_GB2312"/>
                <w:color w:val="000000"/>
              </w:rPr>
            </w:pPr>
            <w:r>
              <w:rPr>
                <w:rFonts w:hint="eastAsia" w:ascii="仿宋_GB2312" w:eastAsia="仿宋_GB2312"/>
                <w:color w:val="000000"/>
              </w:rPr>
              <w:t>2.53</w:t>
            </w:r>
          </w:p>
        </w:tc>
        <w:tc>
          <w:tcPr>
            <w:tcW w:w="512" w:type="pct"/>
            <w:vAlign w:val="center"/>
          </w:tcPr>
          <w:p>
            <w:pPr>
              <w:jc w:val="center"/>
              <w:rPr>
                <w:rFonts w:ascii="仿宋_GB2312" w:eastAsia="仿宋_GB2312"/>
                <w:color w:val="000000"/>
              </w:rPr>
            </w:pPr>
            <w:r>
              <w:rPr>
                <w:rFonts w:hint="eastAsia" w:ascii="仿宋_GB2312" w:eastAsia="仿宋_GB2312"/>
                <w:color w:val="000000"/>
              </w:rPr>
              <w:t>1.1</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2028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6</w:t>
            </w:r>
          </w:p>
        </w:tc>
        <w:tc>
          <w:tcPr>
            <w:tcW w:w="870" w:type="pct"/>
            <w:vAlign w:val="center"/>
          </w:tcPr>
          <w:p>
            <w:pPr>
              <w:jc w:val="center"/>
              <w:rPr>
                <w:rFonts w:ascii="仿宋_GB2312" w:eastAsia="仿宋_GB2312"/>
                <w:color w:val="000000"/>
              </w:rPr>
            </w:pPr>
            <w:r>
              <w:rPr>
                <w:rFonts w:hint="eastAsia" w:ascii="仿宋_GB2312" w:eastAsia="仿宋_GB2312"/>
                <w:color w:val="000000"/>
              </w:rPr>
              <w:t>S468泾县桃花潭至青阳朱备段（青阳段）改造工程</w:t>
            </w:r>
            <w:r>
              <w:rPr>
                <w:rFonts w:ascii="仿宋_GB2312" w:eastAsia="仿宋_GB2312"/>
                <w:color w:val="000000"/>
              </w:rPr>
              <w:t xml:space="preserve"> </w:t>
            </w:r>
          </w:p>
        </w:tc>
        <w:tc>
          <w:tcPr>
            <w:tcW w:w="1837" w:type="pct"/>
            <w:vAlign w:val="center"/>
          </w:tcPr>
          <w:p>
            <w:pPr>
              <w:rPr>
                <w:rFonts w:ascii="仿宋_GB2312" w:eastAsia="仿宋_GB2312"/>
                <w:color w:val="000000"/>
              </w:rPr>
            </w:pPr>
            <w:r>
              <w:rPr>
                <w:rFonts w:hint="eastAsia" w:ascii="仿宋_GB2312" w:eastAsia="仿宋_GB2312"/>
                <w:color w:val="000000"/>
              </w:rPr>
              <w:t>二级公路，约16.4公里。</w:t>
            </w:r>
          </w:p>
        </w:tc>
        <w:tc>
          <w:tcPr>
            <w:tcW w:w="409" w:type="pct"/>
            <w:vAlign w:val="center"/>
          </w:tcPr>
          <w:p>
            <w:pPr>
              <w:jc w:val="center"/>
              <w:rPr>
                <w:rFonts w:ascii="仿宋_GB2312" w:eastAsia="仿宋_GB2312"/>
                <w:color w:val="000000"/>
              </w:rPr>
            </w:pPr>
            <w:r>
              <w:rPr>
                <w:rFonts w:hint="eastAsia" w:ascii="仿宋_GB2312" w:eastAsia="仿宋_GB2312"/>
                <w:color w:val="000000"/>
              </w:rPr>
              <w:t>2.17</w:t>
            </w:r>
          </w:p>
        </w:tc>
        <w:tc>
          <w:tcPr>
            <w:tcW w:w="512" w:type="pct"/>
            <w:vAlign w:val="center"/>
          </w:tcPr>
          <w:p>
            <w:pPr>
              <w:jc w:val="center"/>
              <w:rPr>
                <w:rFonts w:ascii="仿宋_GB2312" w:eastAsia="仿宋_GB2312"/>
                <w:color w:val="000000"/>
              </w:rPr>
            </w:pPr>
            <w:r>
              <w:rPr>
                <w:rFonts w:hint="eastAsia" w:ascii="仿宋_GB2312" w:eastAsia="仿宋_GB2312"/>
                <w:color w:val="000000"/>
              </w:rPr>
              <w:t>0.9</w:t>
            </w:r>
          </w:p>
        </w:tc>
        <w:tc>
          <w:tcPr>
            <w:tcW w:w="461" w:type="pct"/>
            <w:vAlign w:val="center"/>
          </w:tcPr>
          <w:p>
            <w:pPr>
              <w:jc w:val="center"/>
              <w:rPr>
                <w:rFonts w:ascii="仿宋_GB2312" w:eastAsia="仿宋_GB2312"/>
                <w:color w:val="000000"/>
              </w:rPr>
            </w:pPr>
            <w:r>
              <w:rPr>
                <w:rFonts w:hint="eastAsia" w:ascii="仿宋_GB2312" w:eastAsia="仿宋_GB2312"/>
                <w:color w:val="000000"/>
              </w:rPr>
              <w:t>2024</w:t>
            </w:r>
          </w:p>
        </w:tc>
        <w:tc>
          <w:tcPr>
            <w:tcW w:w="459" w:type="pct"/>
            <w:vAlign w:val="center"/>
          </w:tcPr>
          <w:p>
            <w:pPr>
              <w:jc w:val="center"/>
              <w:rPr>
                <w:rFonts w:ascii="仿宋_GB2312" w:eastAsia="仿宋_GB2312"/>
                <w:color w:val="000000"/>
              </w:rPr>
            </w:pPr>
            <w:r>
              <w:rPr>
                <w:rFonts w:hint="eastAsia" w:ascii="仿宋_GB2312" w:eastAsia="仿宋_GB2312"/>
                <w:color w:val="000000"/>
              </w:rPr>
              <w:t>2028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32.4</w:t>
            </w:r>
          </w:p>
        </w:tc>
        <w:tc>
          <w:tcPr>
            <w:tcW w:w="512" w:type="pct"/>
            <w:vAlign w:val="center"/>
          </w:tcPr>
          <w:p>
            <w:pPr>
              <w:jc w:val="center"/>
              <w:rPr>
                <w:rFonts w:ascii="仿宋_GB2312" w:eastAsia="仿宋_GB2312"/>
                <w:color w:val="000000"/>
              </w:rPr>
            </w:pPr>
            <w:r>
              <w:rPr>
                <w:rFonts w:hint="eastAsia" w:ascii="仿宋_GB2312" w:eastAsia="仿宋_GB2312"/>
                <w:color w:val="000000"/>
              </w:rPr>
              <w:t>25.21</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53.44</w:t>
            </w:r>
          </w:p>
        </w:tc>
        <w:tc>
          <w:tcPr>
            <w:tcW w:w="512" w:type="pct"/>
            <w:vAlign w:val="center"/>
          </w:tcPr>
          <w:p>
            <w:pPr>
              <w:jc w:val="center"/>
              <w:rPr>
                <w:rFonts w:ascii="仿宋_GB2312" w:eastAsia="仿宋_GB2312"/>
                <w:color w:val="000000"/>
              </w:rPr>
            </w:pPr>
            <w:r>
              <w:rPr>
                <w:rFonts w:hint="eastAsia" w:ascii="仿宋_GB2312" w:eastAsia="仿宋_GB2312"/>
                <w:color w:val="000000"/>
              </w:rPr>
              <w:t>32.81</w:t>
            </w:r>
          </w:p>
        </w:tc>
        <w:tc>
          <w:tcPr>
            <w:tcW w:w="920" w:type="pct"/>
            <w:gridSpan w:val="2"/>
            <w:vAlign w:val="center"/>
          </w:tcPr>
          <w:p>
            <w:pPr>
              <w:jc w:val="center"/>
              <w:rPr>
                <w:rFonts w:ascii="仿宋_GB2312" w:eastAsia="仿宋_GB2312"/>
                <w:color w:val="000000"/>
              </w:rPr>
            </w:pPr>
          </w:p>
        </w:tc>
      </w:tr>
      <w:bookmarkEnd w:id="104"/>
      <w:bookmarkEnd w:id="105"/>
    </w:tbl>
    <w:p>
      <w:pPr>
        <w:pStyle w:val="2"/>
        <w:spacing w:before="0" w:after="0" w:line="360" w:lineRule="auto"/>
        <w:jc w:val="left"/>
        <w:rPr>
          <w:rFonts w:ascii="黑体" w:hAnsi="黑体" w:eastAsia="黑体"/>
          <w:b w:val="0"/>
          <w:sz w:val="28"/>
          <w:szCs w:val="28"/>
        </w:rPr>
      </w:pPr>
      <w:bookmarkStart w:id="108" w:name="_Toc99394939"/>
      <w:bookmarkStart w:id="109" w:name="_Toc104537527"/>
      <w:r>
        <w:rPr>
          <w:rFonts w:ascii="黑体" w:hAnsi="黑体" w:eastAsia="黑体"/>
          <w:b w:val="0"/>
          <w:sz w:val="28"/>
          <w:szCs w:val="28"/>
        </w:rPr>
        <w:t>附</w:t>
      </w:r>
      <w:r>
        <w:rPr>
          <w:rFonts w:hint="eastAsia" w:ascii="黑体" w:hAnsi="黑体" w:eastAsia="黑体"/>
          <w:b w:val="0"/>
          <w:sz w:val="28"/>
          <w:szCs w:val="28"/>
        </w:rPr>
        <w:t>表5：农村公路项目建设项目库</w:t>
      </w:r>
      <w:bookmarkEnd w:id="108"/>
      <w:bookmarkEnd w:id="109"/>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865"/>
        <w:gridCol w:w="1587"/>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gridSpan w:val="2"/>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gridSpan w:val="2"/>
            <w:vAlign w:val="center"/>
          </w:tcPr>
          <w:p>
            <w:pPr>
              <w:jc w:val="center"/>
              <w:rPr>
                <w:rFonts w:ascii="仿宋_GB2312" w:eastAsia="仿宋_GB2312"/>
                <w:color w:val="000000"/>
              </w:rPr>
            </w:pPr>
            <w:r>
              <w:rPr>
                <w:rFonts w:hint="eastAsia" w:ascii="仿宋_GB2312" w:eastAsia="仿宋_GB2312"/>
                <w:color w:val="000000"/>
              </w:rPr>
              <w:t>县道</w:t>
            </w:r>
          </w:p>
        </w:tc>
        <w:tc>
          <w:tcPr>
            <w:tcW w:w="1837" w:type="pct"/>
            <w:vAlign w:val="center"/>
          </w:tcPr>
          <w:p>
            <w:pPr>
              <w:rPr>
                <w:rFonts w:ascii="仿宋_GB2312" w:eastAsia="仿宋_GB2312"/>
                <w:color w:val="000000"/>
              </w:rPr>
            </w:pPr>
            <w:r>
              <w:rPr>
                <w:rFonts w:hint="eastAsia" w:ascii="仿宋_GB2312" w:eastAsia="仿宋_GB2312"/>
                <w:color w:val="000000"/>
              </w:rPr>
              <w:t>规划提升6条道路的技术等级，道路里程合计大约110公里。</w:t>
            </w:r>
          </w:p>
        </w:tc>
        <w:tc>
          <w:tcPr>
            <w:tcW w:w="409" w:type="pct"/>
            <w:vAlign w:val="center"/>
          </w:tcPr>
          <w:p>
            <w:pPr>
              <w:jc w:val="center"/>
              <w:rPr>
                <w:rFonts w:ascii="仿宋_GB2312" w:eastAsia="仿宋_GB2312"/>
                <w:color w:val="000000"/>
              </w:rPr>
            </w:pPr>
            <w:r>
              <w:rPr>
                <w:rFonts w:hint="eastAsia" w:ascii="仿宋_GB2312" w:eastAsia="仿宋_GB2312"/>
                <w:color w:val="000000"/>
              </w:rPr>
              <w:t>4.4</w:t>
            </w:r>
          </w:p>
        </w:tc>
        <w:tc>
          <w:tcPr>
            <w:tcW w:w="512" w:type="pct"/>
            <w:vAlign w:val="center"/>
          </w:tcPr>
          <w:p>
            <w:pPr>
              <w:jc w:val="center"/>
              <w:rPr>
                <w:rFonts w:ascii="仿宋_GB2312" w:eastAsia="仿宋_GB2312"/>
                <w:color w:val="000000"/>
              </w:rPr>
            </w:pPr>
            <w:r>
              <w:rPr>
                <w:rFonts w:hint="eastAsia" w:ascii="仿宋_GB2312" w:eastAsia="仿宋_GB2312"/>
                <w:color w:val="000000"/>
              </w:rPr>
              <w:t>4.4</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gridSpan w:val="2"/>
            <w:vAlign w:val="center"/>
          </w:tcPr>
          <w:p>
            <w:pPr>
              <w:jc w:val="center"/>
              <w:rPr>
                <w:rFonts w:ascii="仿宋_GB2312" w:eastAsia="仿宋_GB2312"/>
                <w:color w:val="000000"/>
              </w:rPr>
            </w:pPr>
            <w:r>
              <w:rPr>
                <w:rFonts w:hint="eastAsia" w:ascii="仿宋_GB2312" w:eastAsia="仿宋_GB2312"/>
                <w:color w:val="000000"/>
              </w:rPr>
              <w:t>乡道</w:t>
            </w:r>
          </w:p>
        </w:tc>
        <w:tc>
          <w:tcPr>
            <w:tcW w:w="1837" w:type="pct"/>
            <w:vAlign w:val="center"/>
          </w:tcPr>
          <w:p>
            <w:pPr>
              <w:rPr>
                <w:rFonts w:ascii="仿宋_GB2312" w:eastAsia="仿宋_GB2312"/>
                <w:color w:val="000000"/>
              </w:rPr>
            </w:pPr>
            <w:r>
              <w:rPr>
                <w:rFonts w:hint="eastAsia" w:ascii="仿宋_GB2312" w:eastAsia="仿宋_GB2312"/>
                <w:color w:val="000000"/>
              </w:rPr>
              <w:t>按照不低于双车道四级公路标准新改建乡道总里程120公里左右。</w:t>
            </w:r>
          </w:p>
        </w:tc>
        <w:tc>
          <w:tcPr>
            <w:tcW w:w="409" w:type="pct"/>
            <w:vAlign w:val="center"/>
          </w:tcPr>
          <w:p>
            <w:pPr>
              <w:jc w:val="center"/>
              <w:rPr>
                <w:rFonts w:ascii="仿宋_GB2312" w:eastAsia="仿宋_GB2312"/>
                <w:color w:val="000000"/>
              </w:rPr>
            </w:pPr>
            <w:r>
              <w:rPr>
                <w:rFonts w:hint="eastAsia" w:ascii="仿宋_GB2312" w:eastAsia="仿宋_GB2312"/>
                <w:color w:val="000000"/>
              </w:rPr>
              <w:t>3.6</w:t>
            </w:r>
          </w:p>
        </w:tc>
        <w:tc>
          <w:tcPr>
            <w:tcW w:w="512" w:type="pct"/>
            <w:vAlign w:val="center"/>
          </w:tcPr>
          <w:p>
            <w:pPr>
              <w:jc w:val="center"/>
              <w:rPr>
                <w:rFonts w:ascii="仿宋_GB2312" w:eastAsia="仿宋_GB2312"/>
                <w:color w:val="000000"/>
              </w:rPr>
            </w:pPr>
            <w:r>
              <w:rPr>
                <w:rFonts w:hint="eastAsia" w:ascii="仿宋_GB2312" w:eastAsia="仿宋_GB2312"/>
                <w:color w:val="000000"/>
              </w:rPr>
              <w:t>3.6</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gridSpan w:val="2"/>
            <w:vAlign w:val="center"/>
          </w:tcPr>
          <w:p>
            <w:pPr>
              <w:jc w:val="center"/>
              <w:rPr>
                <w:rFonts w:ascii="仿宋_GB2312" w:eastAsia="仿宋_GB2312"/>
                <w:color w:val="000000"/>
              </w:rPr>
            </w:pPr>
            <w:r>
              <w:rPr>
                <w:rFonts w:hint="eastAsia" w:ascii="仿宋_GB2312" w:eastAsia="仿宋_GB2312"/>
                <w:color w:val="000000"/>
              </w:rPr>
              <w:t>村道</w:t>
            </w:r>
          </w:p>
        </w:tc>
        <w:tc>
          <w:tcPr>
            <w:tcW w:w="1837" w:type="pct"/>
            <w:vAlign w:val="center"/>
          </w:tcPr>
          <w:p>
            <w:pPr>
              <w:rPr>
                <w:rFonts w:ascii="仿宋_GB2312" w:eastAsia="仿宋_GB2312"/>
                <w:color w:val="000000"/>
              </w:rPr>
            </w:pPr>
            <w:r>
              <w:rPr>
                <w:rFonts w:hint="eastAsia" w:ascii="仿宋_GB2312" w:eastAsia="仿宋_GB2312"/>
                <w:color w:val="000000"/>
              </w:rPr>
              <w:t>按照不低于四级公路标准新改建村道总里程150公里左右。</w:t>
            </w:r>
          </w:p>
        </w:tc>
        <w:tc>
          <w:tcPr>
            <w:tcW w:w="409" w:type="pct"/>
            <w:vAlign w:val="center"/>
          </w:tcPr>
          <w:p>
            <w:pPr>
              <w:jc w:val="center"/>
              <w:rPr>
                <w:rFonts w:ascii="仿宋_GB2312" w:eastAsia="仿宋_GB2312"/>
                <w:color w:val="000000"/>
              </w:rPr>
            </w:pPr>
            <w:r>
              <w:rPr>
                <w:rFonts w:hint="eastAsia" w:ascii="仿宋_GB2312" w:eastAsia="仿宋_GB2312"/>
                <w:color w:val="000000"/>
              </w:rPr>
              <w:t>2.25</w:t>
            </w:r>
          </w:p>
        </w:tc>
        <w:tc>
          <w:tcPr>
            <w:tcW w:w="512" w:type="pct"/>
            <w:vAlign w:val="center"/>
          </w:tcPr>
          <w:p>
            <w:pPr>
              <w:jc w:val="center"/>
              <w:rPr>
                <w:rFonts w:ascii="仿宋_GB2312" w:eastAsia="仿宋_GB2312"/>
                <w:color w:val="000000"/>
              </w:rPr>
            </w:pPr>
            <w:r>
              <w:rPr>
                <w:rFonts w:hint="eastAsia" w:ascii="仿宋_GB2312" w:eastAsia="仿宋_GB2312"/>
                <w:color w:val="000000"/>
              </w:rPr>
              <w:t>2.25</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52" w:type="pct"/>
            <w:vMerge w:val="restart"/>
            <w:vAlign w:val="center"/>
          </w:tcPr>
          <w:p>
            <w:pPr>
              <w:jc w:val="center"/>
              <w:rPr>
                <w:rFonts w:ascii="仿宋_GB2312" w:eastAsia="仿宋_GB2312"/>
                <w:color w:val="000000"/>
              </w:rPr>
            </w:pPr>
            <w:r>
              <w:rPr>
                <w:rFonts w:hint="eastAsia" w:ascii="仿宋_GB2312" w:eastAsia="仿宋_GB2312"/>
                <w:color w:val="000000"/>
              </w:rPr>
              <w:t>4</w:t>
            </w:r>
          </w:p>
        </w:tc>
        <w:tc>
          <w:tcPr>
            <w:tcW w:w="307" w:type="pct"/>
            <w:vMerge w:val="restart"/>
            <w:vAlign w:val="center"/>
          </w:tcPr>
          <w:p>
            <w:pPr>
              <w:jc w:val="center"/>
              <w:rPr>
                <w:rFonts w:ascii="仿宋_GB2312" w:eastAsia="仿宋_GB2312"/>
                <w:color w:val="000000"/>
              </w:rPr>
            </w:pPr>
            <w:r>
              <w:rPr>
                <w:rFonts w:hint="eastAsia" w:ascii="仿宋_GB2312" w:eastAsia="仿宋_GB2312"/>
                <w:color w:val="000000"/>
              </w:rPr>
              <w:t>乡村振兴</w:t>
            </w:r>
          </w:p>
        </w:tc>
        <w:tc>
          <w:tcPr>
            <w:tcW w:w="563" w:type="pct"/>
            <w:vAlign w:val="center"/>
          </w:tcPr>
          <w:p>
            <w:pPr>
              <w:jc w:val="center"/>
              <w:rPr>
                <w:rFonts w:ascii="仿宋_GB2312" w:eastAsia="仿宋_GB2312"/>
                <w:color w:val="000000"/>
              </w:rPr>
            </w:pPr>
            <w:r>
              <w:rPr>
                <w:rFonts w:hint="eastAsia" w:ascii="仿宋_GB2312" w:eastAsia="仿宋_GB2312"/>
                <w:color w:val="000000"/>
              </w:rPr>
              <w:t>危桥改造</w:t>
            </w:r>
          </w:p>
        </w:tc>
        <w:tc>
          <w:tcPr>
            <w:tcW w:w="1837" w:type="pct"/>
            <w:vAlign w:val="center"/>
          </w:tcPr>
          <w:p>
            <w:pPr>
              <w:rPr>
                <w:rFonts w:ascii="仿宋_GB2312" w:eastAsia="仿宋_GB2312"/>
                <w:color w:val="000000"/>
              </w:rPr>
            </w:pPr>
            <w:r>
              <w:rPr>
                <w:rFonts w:hint="eastAsia" w:ascii="仿宋_GB2312" w:eastAsia="仿宋_GB2312"/>
                <w:color w:val="000000"/>
              </w:rPr>
              <w:t>农村公路危桥改造30座（详见附表10）。</w:t>
            </w:r>
          </w:p>
        </w:tc>
        <w:tc>
          <w:tcPr>
            <w:tcW w:w="409" w:type="pct"/>
            <w:vAlign w:val="center"/>
          </w:tcPr>
          <w:p>
            <w:pPr>
              <w:jc w:val="center"/>
              <w:rPr>
                <w:rFonts w:ascii="仿宋_GB2312" w:eastAsia="仿宋_GB2312"/>
                <w:color w:val="000000"/>
              </w:rPr>
            </w:pPr>
            <w:r>
              <w:rPr>
                <w:rFonts w:hint="eastAsia" w:ascii="仿宋_GB2312" w:eastAsia="仿宋_GB2312"/>
                <w:color w:val="000000"/>
              </w:rPr>
              <w:t>1.2</w:t>
            </w:r>
          </w:p>
        </w:tc>
        <w:tc>
          <w:tcPr>
            <w:tcW w:w="512" w:type="pct"/>
            <w:vAlign w:val="center"/>
          </w:tcPr>
          <w:p>
            <w:pPr>
              <w:jc w:val="center"/>
              <w:rPr>
                <w:rFonts w:ascii="仿宋_GB2312" w:eastAsia="仿宋_GB2312"/>
                <w:color w:val="000000"/>
              </w:rPr>
            </w:pPr>
            <w:r>
              <w:rPr>
                <w:rFonts w:hint="eastAsia" w:ascii="仿宋_GB2312" w:eastAsia="仿宋_GB2312"/>
                <w:color w:val="000000"/>
              </w:rPr>
              <w:t>1.2</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52" w:type="pct"/>
            <w:vMerge w:val="continue"/>
            <w:vAlign w:val="center"/>
          </w:tcPr>
          <w:p>
            <w:pPr>
              <w:jc w:val="center"/>
              <w:rPr>
                <w:rFonts w:ascii="仿宋_GB2312" w:eastAsia="仿宋_GB2312"/>
                <w:color w:val="000000"/>
              </w:rPr>
            </w:pPr>
          </w:p>
        </w:tc>
        <w:tc>
          <w:tcPr>
            <w:tcW w:w="307" w:type="pct"/>
            <w:vMerge w:val="continue"/>
            <w:vAlign w:val="center"/>
          </w:tcPr>
          <w:p>
            <w:pPr>
              <w:jc w:val="center"/>
              <w:rPr>
                <w:rFonts w:ascii="仿宋_GB2312" w:eastAsia="仿宋_GB2312"/>
                <w:color w:val="000000"/>
              </w:rPr>
            </w:pPr>
          </w:p>
        </w:tc>
        <w:tc>
          <w:tcPr>
            <w:tcW w:w="563" w:type="pct"/>
            <w:vAlign w:val="center"/>
          </w:tcPr>
          <w:p>
            <w:pPr>
              <w:jc w:val="center"/>
              <w:rPr>
                <w:rFonts w:ascii="仿宋_GB2312" w:eastAsia="仿宋_GB2312"/>
                <w:color w:val="000000"/>
              </w:rPr>
            </w:pPr>
            <w:r>
              <w:rPr>
                <w:rFonts w:hint="eastAsia" w:ascii="仿宋_GB2312" w:eastAsia="仿宋_GB2312"/>
                <w:color w:val="000000"/>
              </w:rPr>
              <w:t>美丽公路</w:t>
            </w:r>
          </w:p>
        </w:tc>
        <w:tc>
          <w:tcPr>
            <w:tcW w:w="1837" w:type="pct"/>
            <w:vAlign w:val="center"/>
          </w:tcPr>
          <w:p>
            <w:pPr>
              <w:rPr>
                <w:rFonts w:ascii="仿宋_GB2312" w:eastAsia="仿宋_GB2312"/>
                <w:color w:val="000000"/>
              </w:rPr>
            </w:pPr>
            <w:r>
              <w:rPr>
                <w:rFonts w:hint="eastAsia" w:ascii="仿宋_GB2312" w:eastAsia="仿宋_GB2312"/>
                <w:color w:val="000000"/>
              </w:rPr>
              <w:t>美丽公路品质路示范路建设。</w:t>
            </w:r>
          </w:p>
        </w:tc>
        <w:tc>
          <w:tcPr>
            <w:tcW w:w="409" w:type="pct"/>
            <w:vAlign w:val="center"/>
          </w:tcPr>
          <w:p>
            <w:pPr>
              <w:jc w:val="center"/>
              <w:rPr>
                <w:rFonts w:ascii="仿宋_GB2312" w:eastAsia="仿宋_GB2312"/>
                <w:color w:val="000000"/>
              </w:rPr>
            </w:pPr>
            <w:r>
              <w:rPr>
                <w:rFonts w:hint="eastAsia" w:ascii="仿宋_GB2312" w:eastAsia="仿宋_GB2312"/>
                <w:color w:val="000000"/>
              </w:rPr>
              <w:t>2.0</w:t>
            </w:r>
          </w:p>
        </w:tc>
        <w:tc>
          <w:tcPr>
            <w:tcW w:w="512" w:type="pct"/>
            <w:vAlign w:val="center"/>
          </w:tcPr>
          <w:p>
            <w:pPr>
              <w:jc w:val="center"/>
              <w:rPr>
                <w:rFonts w:ascii="仿宋_GB2312" w:eastAsia="仿宋_GB2312"/>
                <w:color w:val="000000"/>
              </w:rPr>
            </w:pPr>
            <w:r>
              <w:rPr>
                <w:rFonts w:hint="eastAsia" w:ascii="仿宋_GB2312" w:eastAsia="仿宋_GB2312"/>
                <w:color w:val="000000"/>
              </w:rPr>
              <w:t>2.0</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3159" w:type="pct"/>
            <w:gridSpan w:val="4"/>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13.45</w:t>
            </w:r>
          </w:p>
        </w:tc>
        <w:tc>
          <w:tcPr>
            <w:tcW w:w="512" w:type="pct"/>
            <w:vAlign w:val="center"/>
          </w:tcPr>
          <w:p>
            <w:pPr>
              <w:jc w:val="center"/>
              <w:rPr>
                <w:rFonts w:ascii="仿宋_GB2312" w:eastAsia="仿宋_GB2312"/>
                <w:color w:val="000000"/>
              </w:rPr>
            </w:pPr>
            <w:r>
              <w:rPr>
                <w:rFonts w:hint="eastAsia" w:ascii="仿宋_GB2312" w:eastAsia="仿宋_GB2312"/>
                <w:color w:val="000000"/>
              </w:rPr>
              <w:t>13.45</w:t>
            </w:r>
          </w:p>
        </w:tc>
        <w:tc>
          <w:tcPr>
            <w:tcW w:w="920" w:type="pct"/>
            <w:gridSpan w:val="2"/>
            <w:vAlign w:val="center"/>
          </w:tcPr>
          <w:p>
            <w:pPr>
              <w:jc w:val="center"/>
              <w:rPr>
                <w:rFonts w:ascii="仿宋_GB2312" w:eastAsia="仿宋_GB2312"/>
                <w:color w:val="000000"/>
              </w:rPr>
            </w:pPr>
          </w:p>
        </w:tc>
      </w:tr>
    </w:tbl>
    <w:p>
      <w:pPr>
        <w:pStyle w:val="61"/>
        <w:ind w:firstLine="0" w:firstLineChars="0"/>
        <w:sectPr>
          <w:pgSz w:w="16839" w:h="11907" w:orient="landscape"/>
          <w:pgMar w:top="1800" w:right="1440" w:bottom="1800" w:left="1440" w:header="851" w:footer="992" w:gutter="0"/>
          <w:cols w:space="425" w:num="1"/>
          <w:docGrid w:type="lines" w:linePitch="326" w:charSpace="0"/>
        </w:sectPr>
      </w:pPr>
    </w:p>
    <w:bookmarkEnd w:id="95"/>
    <w:bookmarkEnd w:id="96"/>
    <w:bookmarkEnd w:id="97"/>
    <w:p>
      <w:pPr>
        <w:pStyle w:val="2"/>
        <w:spacing w:before="0" w:after="0" w:line="360" w:lineRule="auto"/>
        <w:jc w:val="left"/>
        <w:rPr>
          <w:rFonts w:ascii="黑体" w:hAnsi="黑体" w:eastAsia="黑体"/>
          <w:b w:val="0"/>
          <w:sz w:val="28"/>
          <w:szCs w:val="28"/>
        </w:rPr>
      </w:pPr>
      <w:bookmarkStart w:id="110" w:name="_Toc99394940"/>
      <w:bookmarkStart w:id="111" w:name="_Toc104537528"/>
      <w:r>
        <w:rPr>
          <w:rFonts w:ascii="黑体" w:hAnsi="黑体" w:eastAsia="黑体"/>
          <w:b w:val="0"/>
          <w:sz w:val="28"/>
          <w:szCs w:val="28"/>
        </w:rPr>
        <w:t>附</w:t>
      </w:r>
      <w:r>
        <w:rPr>
          <w:rFonts w:hint="eastAsia" w:ascii="黑体" w:hAnsi="黑体" w:eastAsia="黑体"/>
          <w:b w:val="0"/>
          <w:sz w:val="28"/>
          <w:szCs w:val="28"/>
        </w:rPr>
        <w:t>表6：航道港口项目建设项目库</w:t>
      </w:r>
      <w:bookmarkEnd w:id="110"/>
      <w:bookmarkEnd w:id="111"/>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57"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青通河航道通过能力提升工程</w:t>
            </w:r>
          </w:p>
        </w:tc>
        <w:tc>
          <w:tcPr>
            <w:tcW w:w="1837" w:type="pct"/>
            <w:vAlign w:val="center"/>
          </w:tcPr>
          <w:p>
            <w:pPr>
              <w:rPr>
                <w:rFonts w:ascii="仿宋_GB2312" w:eastAsia="仿宋_GB2312"/>
                <w:color w:val="000000"/>
              </w:rPr>
            </w:pPr>
            <w:r>
              <w:rPr>
                <w:rFonts w:hint="eastAsia" w:ascii="仿宋_GB2312" w:eastAsia="仿宋_GB2312"/>
                <w:color w:val="000000"/>
              </w:rPr>
              <w:t>青通河航道16公里疏浚维护。</w:t>
            </w:r>
          </w:p>
        </w:tc>
        <w:tc>
          <w:tcPr>
            <w:tcW w:w="409" w:type="pct"/>
            <w:vAlign w:val="center"/>
          </w:tcPr>
          <w:p>
            <w:pPr>
              <w:jc w:val="center"/>
              <w:rPr>
                <w:rFonts w:ascii="仿宋_GB2312" w:eastAsia="仿宋_GB2312"/>
                <w:color w:val="000000"/>
              </w:rPr>
            </w:pPr>
            <w:r>
              <w:rPr>
                <w:rFonts w:hint="eastAsia" w:ascii="仿宋_GB2312" w:eastAsia="仿宋_GB2312"/>
                <w:color w:val="000000"/>
              </w:rPr>
              <w:t>1.81</w:t>
            </w:r>
          </w:p>
        </w:tc>
        <w:tc>
          <w:tcPr>
            <w:tcW w:w="512" w:type="pct"/>
            <w:vAlign w:val="center"/>
          </w:tcPr>
          <w:p>
            <w:pPr>
              <w:jc w:val="center"/>
              <w:rPr>
                <w:rFonts w:ascii="仿宋_GB2312" w:eastAsia="仿宋_GB2312"/>
                <w:color w:val="000000"/>
              </w:rPr>
            </w:pPr>
            <w:r>
              <w:rPr>
                <w:rFonts w:hint="eastAsia" w:ascii="仿宋_GB2312" w:eastAsia="仿宋_GB2312"/>
                <w:color w:val="000000"/>
              </w:rPr>
              <w:t>0.3</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2030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4"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童埠港区童埠码头改扩建工程（二期）</w:t>
            </w:r>
          </w:p>
        </w:tc>
        <w:tc>
          <w:tcPr>
            <w:tcW w:w="1837" w:type="pct"/>
            <w:vAlign w:val="center"/>
          </w:tcPr>
          <w:p>
            <w:pPr>
              <w:rPr>
                <w:rFonts w:ascii="仿宋_GB2312" w:eastAsia="仿宋_GB2312"/>
                <w:color w:val="000000"/>
              </w:rPr>
            </w:pPr>
            <w:r>
              <w:rPr>
                <w:rFonts w:hint="eastAsia" w:ascii="仿宋_GB2312" w:eastAsia="仿宋_GB2312"/>
                <w:color w:val="000000"/>
              </w:rPr>
              <w:t>新建7个500兼顾1000吨级泊位.</w:t>
            </w:r>
          </w:p>
        </w:tc>
        <w:tc>
          <w:tcPr>
            <w:tcW w:w="409" w:type="pct"/>
            <w:vAlign w:val="center"/>
          </w:tcPr>
          <w:p>
            <w:pPr>
              <w:jc w:val="center"/>
              <w:rPr>
                <w:rFonts w:ascii="仿宋_GB2312" w:eastAsia="仿宋_GB2312"/>
                <w:color w:val="000000"/>
              </w:rPr>
            </w:pPr>
            <w:r>
              <w:rPr>
                <w:rFonts w:hint="eastAsia" w:ascii="仿宋_GB2312" w:eastAsia="仿宋_GB2312"/>
                <w:color w:val="000000"/>
              </w:rPr>
              <w:t>6.82</w:t>
            </w:r>
          </w:p>
        </w:tc>
        <w:tc>
          <w:tcPr>
            <w:tcW w:w="512" w:type="pct"/>
            <w:vAlign w:val="center"/>
          </w:tcPr>
          <w:p>
            <w:pPr>
              <w:jc w:val="center"/>
              <w:rPr>
                <w:rFonts w:ascii="仿宋_GB2312" w:eastAsia="仿宋_GB2312"/>
                <w:color w:val="000000"/>
              </w:rPr>
            </w:pPr>
            <w:r>
              <w:rPr>
                <w:rFonts w:hint="eastAsia" w:ascii="仿宋_GB2312" w:eastAsia="仿宋_GB2312"/>
                <w:color w:val="000000"/>
              </w:rPr>
              <w:t>6.82</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54" w:hRule="exac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池州港童埠港区老山、大桥和杨家潭公用码头改扩建工程（储备项目）</w:t>
            </w:r>
          </w:p>
        </w:tc>
        <w:tc>
          <w:tcPr>
            <w:tcW w:w="1837" w:type="pct"/>
            <w:vAlign w:val="center"/>
          </w:tcPr>
          <w:p>
            <w:pPr>
              <w:rPr>
                <w:rFonts w:ascii="仿宋_GB2312" w:eastAsia="仿宋_GB2312"/>
                <w:color w:val="000000"/>
              </w:rPr>
            </w:pPr>
            <w:r>
              <w:rPr>
                <w:rFonts w:hint="eastAsia" w:ascii="仿宋_GB2312" w:eastAsia="仿宋_GB2312"/>
                <w:color w:val="000000"/>
              </w:rPr>
              <w:t>改建6个、新建2个500兼顾1000吨级泊位。</w:t>
            </w:r>
          </w:p>
        </w:tc>
        <w:tc>
          <w:tcPr>
            <w:tcW w:w="409" w:type="pct"/>
            <w:vAlign w:val="center"/>
          </w:tcPr>
          <w:p>
            <w:pPr>
              <w:jc w:val="center"/>
              <w:rPr>
                <w:rFonts w:ascii="仿宋_GB2312" w:eastAsia="仿宋_GB2312"/>
                <w:color w:val="000000"/>
              </w:rPr>
            </w:pPr>
            <w:r>
              <w:rPr>
                <w:rFonts w:hint="eastAsia" w:ascii="仿宋_GB2312" w:eastAsia="仿宋_GB2312"/>
                <w:color w:val="000000"/>
              </w:rPr>
              <w:t>3.8</w:t>
            </w:r>
          </w:p>
        </w:tc>
        <w:tc>
          <w:tcPr>
            <w:tcW w:w="512" w:type="pct"/>
            <w:vAlign w:val="center"/>
          </w:tcPr>
          <w:p>
            <w:pPr>
              <w:jc w:val="center"/>
              <w:rPr>
                <w:rFonts w:ascii="仿宋_GB2312" w:eastAsia="仿宋_GB2312"/>
                <w:color w:val="000000"/>
              </w:rPr>
            </w:pPr>
            <w:r>
              <w:rPr>
                <w:rFonts w:hint="eastAsia" w:ascii="仿宋_GB2312" w:eastAsia="仿宋_GB2312"/>
                <w:color w:val="000000"/>
              </w:rPr>
              <w:t>1.2</w:t>
            </w:r>
          </w:p>
        </w:tc>
        <w:tc>
          <w:tcPr>
            <w:tcW w:w="461" w:type="pct"/>
            <w:vAlign w:val="center"/>
          </w:tcPr>
          <w:p>
            <w:pPr>
              <w:jc w:val="center"/>
              <w:rPr>
                <w:rFonts w:ascii="仿宋_GB2312" w:eastAsia="仿宋_GB2312"/>
                <w:color w:val="000000"/>
              </w:rPr>
            </w:pPr>
            <w:r>
              <w:rPr>
                <w:rFonts w:hint="eastAsia" w:ascii="仿宋_GB2312" w:eastAsia="仿宋_GB2312"/>
                <w:color w:val="000000"/>
              </w:rPr>
              <w:t>2025</w:t>
            </w:r>
          </w:p>
        </w:tc>
        <w:tc>
          <w:tcPr>
            <w:tcW w:w="459" w:type="pct"/>
            <w:vAlign w:val="center"/>
          </w:tcPr>
          <w:p>
            <w:pPr>
              <w:jc w:val="center"/>
              <w:rPr>
                <w:rFonts w:ascii="仿宋_GB2312" w:eastAsia="仿宋_GB2312"/>
                <w:color w:val="000000"/>
              </w:rPr>
            </w:pPr>
            <w:r>
              <w:rPr>
                <w:rFonts w:hint="eastAsia" w:ascii="仿宋_GB2312" w:eastAsia="仿宋_GB2312"/>
                <w:color w:val="000000"/>
              </w:rPr>
              <w:t>2030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12.43</w:t>
            </w:r>
          </w:p>
        </w:tc>
        <w:tc>
          <w:tcPr>
            <w:tcW w:w="512" w:type="pct"/>
            <w:vAlign w:val="center"/>
          </w:tcPr>
          <w:p>
            <w:pPr>
              <w:jc w:val="center"/>
              <w:rPr>
                <w:rFonts w:ascii="仿宋_GB2312" w:eastAsia="仿宋_GB2312"/>
                <w:color w:val="000000"/>
              </w:rPr>
            </w:pPr>
            <w:r>
              <w:rPr>
                <w:rFonts w:hint="eastAsia" w:ascii="仿宋_GB2312" w:eastAsia="仿宋_GB2312"/>
                <w:color w:val="000000"/>
              </w:rPr>
              <w:t>8.32</w:t>
            </w:r>
          </w:p>
        </w:tc>
        <w:tc>
          <w:tcPr>
            <w:tcW w:w="920" w:type="pct"/>
            <w:gridSpan w:val="2"/>
            <w:vAlign w:val="center"/>
          </w:tcPr>
          <w:p>
            <w:pPr>
              <w:jc w:val="center"/>
              <w:rPr>
                <w:rFonts w:ascii="仿宋_GB2312" w:eastAsia="仿宋_GB2312"/>
                <w:color w:val="000000"/>
              </w:rPr>
            </w:pPr>
          </w:p>
        </w:tc>
      </w:tr>
    </w:tbl>
    <w:p>
      <w:pPr>
        <w:pStyle w:val="61"/>
        <w:ind w:firstLine="0" w:firstLineChars="0"/>
      </w:pPr>
    </w:p>
    <w:p>
      <w:pPr>
        <w:pStyle w:val="2"/>
        <w:spacing w:before="0" w:after="0" w:line="360" w:lineRule="auto"/>
        <w:jc w:val="left"/>
        <w:rPr>
          <w:rFonts w:ascii="黑体" w:hAnsi="黑体" w:eastAsia="黑体"/>
          <w:b w:val="0"/>
          <w:sz w:val="28"/>
          <w:szCs w:val="28"/>
        </w:rPr>
      </w:pPr>
      <w:bookmarkStart w:id="112" w:name="_Toc104537529"/>
      <w:bookmarkStart w:id="113" w:name="_Toc99394941"/>
      <w:r>
        <w:rPr>
          <w:rFonts w:ascii="黑体" w:hAnsi="黑体" w:eastAsia="黑体"/>
          <w:b w:val="0"/>
          <w:sz w:val="28"/>
          <w:szCs w:val="28"/>
        </w:rPr>
        <w:t>附</w:t>
      </w:r>
      <w:r>
        <w:rPr>
          <w:rFonts w:hint="eastAsia" w:ascii="黑体" w:hAnsi="黑体" w:eastAsia="黑体"/>
          <w:b w:val="0"/>
          <w:sz w:val="28"/>
          <w:szCs w:val="28"/>
        </w:rPr>
        <w:t>表7：公共交通、客运枢纽、服务设施及物流项目建设项目库</w:t>
      </w:r>
      <w:bookmarkEnd w:id="112"/>
      <w:bookmarkEnd w:id="113"/>
    </w:p>
    <w:tbl>
      <w:tblPr>
        <w:tblStyle w:val="24"/>
        <w:tblW w:w="497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2453"/>
        <w:gridCol w:w="5179"/>
        <w:gridCol w:w="1153"/>
        <w:gridCol w:w="1443"/>
        <w:gridCol w:w="1300"/>
        <w:gridCol w:w="129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70" w:type="pct"/>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837"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9"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12"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61"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9"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一</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公共交通</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08"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公交路线</w:t>
            </w:r>
          </w:p>
        </w:tc>
        <w:tc>
          <w:tcPr>
            <w:tcW w:w="1837" w:type="pct"/>
            <w:vAlign w:val="center"/>
          </w:tcPr>
          <w:p>
            <w:pPr>
              <w:rPr>
                <w:rFonts w:ascii="仿宋_GB2312" w:eastAsia="仿宋_GB2312"/>
                <w:color w:val="000000"/>
              </w:rPr>
            </w:pPr>
            <w:r>
              <w:rPr>
                <w:rFonts w:hint="eastAsia" w:ascii="仿宋_GB2312" w:eastAsia="仿宋_GB2312"/>
                <w:color w:val="000000"/>
              </w:rPr>
              <w:t>对城区现有1、2、3、4、5路公交进行线路升级调整。</w:t>
            </w:r>
          </w:p>
        </w:tc>
        <w:tc>
          <w:tcPr>
            <w:tcW w:w="409" w:type="pct"/>
            <w:vMerge w:val="restart"/>
            <w:vAlign w:val="center"/>
          </w:tcPr>
          <w:p>
            <w:pPr>
              <w:jc w:val="center"/>
              <w:rPr>
                <w:rFonts w:ascii="仿宋_GB2312" w:eastAsia="仿宋_GB2312"/>
                <w:color w:val="000000"/>
              </w:rPr>
            </w:pPr>
            <w:r>
              <w:rPr>
                <w:rFonts w:hint="eastAsia" w:ascii="仿宋_GB2312" w:eastAsia="仿宋_GB2312"/>
                <w:color w:val="000000"/>
              </w:rPr>
              <w:t>0.75</w:t>
            </w:r>
          </w:p>
        </w:tc>
        <w:tc>
          <w:tcPr>
            <w:tcW w:w="512" w:type="pct"/>
            <w:vMerge w:val="restart"/>
            <w:vAlign w:val="center"/>
          </w:tcPr>
          <w:p>
            <w:pPr>
              <w:jc w:val="center"/>
              <w:rPr>
                <w:rFonts w:ascii="仿宋_GB2312" w:eastAsia="仿宋_GB2312"/>
                <w:color w:val="000000"/>
              </w:rPr>
            </w:pPr>
            <w:r>
              <w:rPr>
                <w:rFonts w:hint="eastAsia" w:ascii="仿宋_GB2312" w:eastAsia="仿宋_GB2312"/>
                <w:color w:val="000000"/>
              </w:rPr>
              <w:t>0.75</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14"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公交首末站、公交亭</w:t>
            </w:r>
          </w:p>
        </w:tc>
        <w:tc>
          <w:tcPr>
            <w:tcW w:w="1837" w:type="pct"/>
            <w:vAlign w:val="center"/>
          </w:tcPr>
          <w:p>
            <w:pPr>
              <w:rPr>
                <w:rFonts w:ascii="仿宋_GB2312" w:eastAsia="仿宋_GB2312"/>
                <w:color w:val="000000"/>
              </w:rPr>
            </w:pPr>
            <w:r>
              <w:rPr>
                <w:rFonts w:hint="eastAsia" w:ascii="仿宋_GB2312" w:eastAsia="仿宋_GB2312"/>
                <w:color w:val="000000"/>
              </w:rPr>
              <w:t>新建1个公交首末站；</w:t>
            </w:r>
          </w:p>
          <w:p>
            <w:pPr>
              <w:rPr>
                <w:rFonts w:ascii="仿宋_GB2312" w:eastAsia="仿宋_GB2312"/>
                <w:color w:val="000000"/>
              </w:rPr>
            </w:pPr>
            <w:r>
              <w:rPr>
                <w:rFonts w:hint="eastAsia" w:ascii="仿宋_GB2312" w:eastAsia="仿宋_GB2312"/>
                <w:color w:val="000000"/>
              </w:rPr>
              <w:t>改造1个现有公交首末站，配套20个充电桩设施；</w:t>
            </w:r>
          </w:p>
          <w:p>
            <w:pPr>
              <w:rPr>
                <w:rFonts w:ascii="仿宋_GB2312" w:eastAsia="仿宋_GB2312"/>
                <w:color w:val="000000"/>
              </w:rPr>
            </w:pPr>
            <w:r>
              <w:rPr>
                <w:rFonts w:hint="eastAsia" w:ascii="仿宋_GB2312" w:eastAsia="仿宋_GB2312"/>
                <w:color w:val="000000"/>
              </w:rPr>
              <w:t>建设40对公交亭。</w:t>
            </w:r>
          </w:p>
        </w:tc>
        <w:tc>
          <w:tcPr>
            <w:tcW w:w="409" w:type="pct"/>
            <w:vMerge w:val="continue"/>
            <w:vAlign w:val="center"/>
          </w:tcPr>
          <w:p>
            <w:pPr>
              <w:jc w:val="center"/>
              <w:rPr>
                <w:rFonts w:ascii="仿宋_GB2312" w:eastAsia="仿宋_GB2312"/>
                <w:color w:val="000000"/>
              </w:rPr>
            </w:pPr>
          </w:p>
        </w:tc>
        <w:tc>
          <w:tcPr>
            <w:tcW w:w="512" w:type="pct"/>
            <w:vMerge w:val="continue"/>
            <w:vAlign w:val="center"/>
          </w:tcPr>
          <w:p>
            <w:pPr>
              <w:jc w:val="center"/>
              <w:rPr>
                <w:rFonts w:ascii="仿宋_GB2312" w:eastAsia="仿宋_GB2312"/>
                <w:color w:val="000000"/>
              </w:rPr>
            </w:pP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9" w:hRule="exac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新能源公交全覆盖</w:t>
            </w:r>
          </w:p>
        </w:tc>
        <w:tc>
          <w:tcPr>
            <w:tcW w:w="1837" w:type="pct"/>
            <w:vAlign w:val="center"/>
          </w:tcPr>
          <w:p>
            <w:pPr>
              <w:rPr>
                <w:rFonts w:ascii="仿宋_GB2312" w:eastAsia="仿宋_GB2312"/>
                <w:color w:val="000000"/>
              </w:rPr>
            </w:pPr>
            <w:r>
              <w:rPr>
                <w:rFonts w:hint="eastAsia" w:ascii="仿宋_GB2312" w:eastAsia="仿宋_GB2312"/>
                <w:color w:val="000000"/>
              </w:rPr>
              <w:t>新能源公交车采购及配套设施建设。</w:t>
            </w:r>
          </w:p>
        </w:tc>
        <w:tc>
          <w:tcPr>
            <w:tcW w:w="409" w:type="pct"/>
            <w:vAlign w:val="center"/>
          </w:tcPr>
          <w:p>
            <w:pPr>
              <w:jc w:val="center"/>
              <w:rPr>
                <w:rFonts w:ascii="仿宋_GB2312" w:eastAsia="仿宋_GB2312"/>
                <w:color w:val="000000"/>
              </w:rPr>
            </w:pPr>
            <w:r>
              <w:rPr>
                <w:rFonts w:hint="eastAsia" w:ascii="仿宋_GB2312" w:eastAsia="仿宋_GB2312"/>
                <w:color w:val="000000"/>
              </w:rPr>
              <w:t>0.25</w:t>
            </w:r>
          </w:p>
        </w:tc>
        <w:tc>
          <w:tcPr>
            <w:tcW w:w="512" w:type="pct"/>
            <w:vAlign w:val="center"/>
          </w:tcPr>
          <w:p>
            <w:pPr>
              <w:jc w:val="center"/>
              <w:rPr>
                <w:rFonts w:ascii="仿宋_GB2312" w:eastAsia="仿宋_GB2312"/>
                <w:color w:val="000000"/>
              </w:rPr>
            </w:pPr>
            <w:r>
              <w:rPr>
                <w:rFonts w:hint="eastAsia" w:ascii="仿宋_GB2312" w:eastAsia="仿宋_GB2312"/>
                <w:color w:val="000000"/>
              </w:rPr>
              <w:t>0.25</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1.0</w:t>
            </w:r>
          </w:p>
        </w:tc>
        <w:tc>
          <w:tcPr>
            <w:tcW w:w="512" w:type="pct"/>
            <w:vAlign w:val="center"/>
          </w:tcPr>
          <w:p>
            <w:pPr>
              <w:jc w:val="center"/>
              <w:rPr>
                <w:rFonts w:ascii="仿宋_GB2312" w:eastAsia="仿宋_GB2312"/>
                <w:color w:val="000000"/>
              </w:rPr>
            </w:pPr>
            <w:r>
              <w:rPr>
                <w:rFonts w:hint="eastAsia" w:ascii="仿宋_GB2312" w:eastAsia="仿宋_GB2312"/>
                <w:color w:val="000000"/>
              </w:rPr>
              <w:t>1.0</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二</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客运枢纽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8"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青阳县高铁交通综合枢纽项目</w:t>
            </w:r>
          </w:p>
        </w:tc>
        <w:tc>
          <w:tcPr>
            <w:tcW w:w="1837" w:type="pct"/>
            <w:vAlign w:val="center"/>
          </w:tcPr>
          <w:p>
            <w:pPr>
              <w:rPr>
                <w:rFonts w:ascii="仿宋_GB2312" w:eastAsia="仿宋_GB2312"/>
                <w:color w:val="000000"/>
              </w:rPr>
            </w:pPr>
            <w:r>
              <w:rPr>
                <w:rFonts w:hint="eastAsia" w:ascii="仿宋_GB2312" w:eastAsia="仿宋_GB2312"/>
                <w:color w:val="000000"/>
              </w:rPr>
              <w:t>设计能力1.0万人/日，占地约500亩。</w:t>
            </w:r>
          </w:p>
        </w:tc>
        <w:tc>
          <w:tcPr>
            <w:tcW w:w="409" w:type="pct"/>
            <w:vAlign w:val="center"/>
          </w:tcPr>
          <w:p>
            <w:pPr>
              <w:jc w:val="center"/>
              <w:rPr>
                <w:rFonts w:ascii="仿宋_GB2312" w:eastAsia="仿宋_GB2312"/>
                <w:color w:val="000000"/>
              </w:rPr>
            </w:pPr>
            <w:r>
              <w:rPr>
                <w:rFonts w:hint="eastAsia" w:ascii="仿宋_GB2312" w:eastAsia="仿宋_GB2312"/>
                <w:color w:val="000000"/>
              </w:rPr>
              <w:t>10.7</w:t>
            </w:r>
          </w:p>
        </w:tc>
        <w:tc>
          <w:tcPr>
            <w:tcW w:w="512" w:type="pct"/>
            <w:vAlign w:val="center"/>
          </w:tcPr>
          <w:p>
            <w:pPr>
              <w:jc w:val="center"/>
              <w:rPr>
                <w:rFonts w:ascii="仿宋_GB2312" w:eastAsia="仿宋_GB2312"/>
                <w:color w:val="000000"/>
              </w:rPr>
            </w:pPr>
            <w:r>
              <w:rPr>
                <w:rFonts w:hint="eastAsia" w:ascii="仿宋_GB2312" w:eastAsia="仿宋_GB2312"/>
                <w:color w:val="000000"/>
              </w:rPr>
              <w:t>10.7</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4"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青阳综合客运枢纽站</w:t>
            </w:r>
          </w:p>
        </w:tc>
        <w:tc>
          <w:tcPr>
            <w:tcW w:w="1837" w:type="pct"/>
            <w:vAlign w:val="center"/>
          </w:tcPr>
          <w:p>
            <w:pPr>
              <w:rPr>
                <w:rFonts w:ascii="仿宋_GB2312" w:eastAsia="仿宋_GB2312"/>
                <w:color w:val="000000"/>
              </w:rPr>
            </w:pPr>
            <w:r>
              <w:rPr>
                <w:rFonts w:hint="eastAsia" w:ascii="仿宋_GB2312" w:eastAsia="仿宋_GB2312"/>
                <w:color w:val="000000"/>
              </w:rPr>
              <w:t>占地面积66600平方米，设计能力1万人/日。</w:t>
            </w:r>
          </w:p>
        </w:tc>
        <w:tc>
          <w:tcPr>
            <w:tcW w:w="409" w:type="pct"/>
            <w:vAlign w:val="center"/>
          </w:tcPr>
          <w:p>
            <w:pPr>
              <w:jc w:val="center"/>
              <w:rPr>
                <w:rFonts w:ascii="仿宋_GB2312" w:eastAsia="仿宋_GB2312"/>
                <w:color w:val="000000"/>
              </w:rPr>
            </w:pPr>
            <w:r>
              <w:rPr>
                <w:rFonts w:hint="eastAsia" w:ascii="仿宋_GB2312" w:eastAsia="仿宋_GB2312"/>
                <w:color w:val="000000"/>
              </w:rPr>
              <w:t>3.0</w:t>
            </w:r>
          </w:p>
        </w:tc>
        <w:tc>
          <w:tcPr>
            <w:tcW w:w="512" w:type="pct"/>
            <w:vAlign w:val="center"/>
          </w:tcPr>
          <w:p>
            <w:pPr>
              <w:jc w:val="center"/>
              <w:rPr>
                <w:rFonts w:ascii="仿宋_GB2312" w:eastAsia="仿宋_GB2312"/>
                <w:color w:val="000000"/>
              </w:rPr>
            </w:pPr>
            <w:r>
              <w:rPr>
                <w:rFonts w:hint="eastAsia" w:ascii="仿宋_GB2312" w:eastAsia="仿宋_GB2312"/>
                <w:color w:val="000000"/>
              </w:rPr>
              <w:t>3.0</w:t>
            </w:r>
          </w:p>
        </w:tc>
        <w:tc>
          <w:tcPr>
            <w:tcW w:w="461" w:type="pct"/>
            <w:vAlign w:val="center"/>
          </w:tcPr>
          <w:p>
            <w:pPr>
              <w:jc w:val="center"/>
              <w:rPr>
                <w:rFonts w:ascii="仿宋_GB2312" w:eastAsia="仿宋_GB2312"/>
                <w:color w:val="000000"/>
              </w:rPr>
            </w:pPr>
            <w:r>
              <w:rPr>
                <w:rFonts w:hint="eastAsia" w:ascii="仿宋_GB2312" w:eastAsia="仿宋_GB2312"/>
                <w:color w:val="000000"/>
              </w:rPr>
              <w:t>2022</w:t>
            </w:r>
          </w:p>
        </w:tc>
        <w:tc>
          <w:tcPr>
            <w:tcW w:w="459" w:type="pct"/>
            <w:vAlign w:val="center"/>
          </w:tcPr>
          <w:p>
            <w:pPr>
              <w:jc w:val="center"/>
              <w:rPr>
                <w:rFonts w:ascii="仿宋_GB2312" w:eastAsia="仿宋_GB2312"/>
                <w:color w:val="000000"/>
              </w:rPr>
            </w:pPr>
            <w:r>
              <w:rPr>
                <w:rFonts w:hint="eastAsia" w:ascii="仿宋_GB2312" w:eastAsia="仿宋_GB2312"/>
                <w:color w:val="000000"/>
              </w:rPr>
              <w:t>2024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38" w:hRule="exact"/>
        </w:trPr>
        <w:tc>
          <w:tcPr>
            <w:tcW w:w="452" w:type="pct"/>
            <w:vAlign w:val="center"/>
          </w:tcPr>
          <w:p>
            <w:pPr>
              <w:jc w:val="center"/>
              <w:rPr>
                <w:rFonts w:ascii="仿宋_GB2312" w:eastAsia="仿宋_GB2312"/>
                <w:color w:val="000000"/>
              </w:rPr>
            </w:pPr>
            <w:r>
              <w:rPr>
                <w:rFonts w:hint="eastAsia" w:ascii="仿宋_GB2312" w:eastAsia="仿宋_GB2312"/>
                <w:color w:val="000000"/>
              </w:rPr>
              <w:t>3</w:t>
            </w:r>
          </w:p>
        </w:tc>
        <w:tc>
          <w:tcPr>
            <w:tcW w:w="870" w:type="pct"/>
            <w:vAlign w:val="center"/>
          </w:tcPr>
          <w:p>
            <w:pPr>
              <w:jc w:val="center"/>
              <w:rPr>
                <w:rFonts w:ascii="仿宋_GB2312" w:eastAsia="仿宋_GB2312"/>
                <w:color w:val="000000"/>
              </w:rPr>
            </w:pPr>
            <w:r>
              <w:rPr>
                <w:rFonts w:hint="eastAsia" w:ascii="仿宋_GB2312" w:eastAsia="仿宋_GB2312"/>
                <w:color w:val="000000"/>
              </w:rPr>
              <w:t>朱备旅游客运站</w:t>
            </w:r>
          </w:p>
        </w:tc>
        <w:tc>
          <w:tcPr>
            <w:tcW w:w="1837" w:type="pct"/>
            <w:vAlign w:val="center"/>
          </w:tcPr>
          <w:p>
            <w:pPr>
              <w:rPr>
                <w:rFonts w:ascii="仿宋_GB2312" w:eastAsia="仿宋_GB2312"/>
                <w:color w:val="000000"/>
              </w:rPr>
            </w:pPr>
            <w:r>
              <w:rPr>
                <w:rFonts w:hint="eastAsia" w:ascii="仿宋_GB2312" w:eastAsia="仿宋_GB2312"/>
                <w:color w:val="000000"/>
              </w:rPr>
              <w:t>拟采用二级站标准，项目建设内容包括客运站发车位、停车场等客运服务设施及辅助设施。</w:t>
            </w:r>
          </w:p>
        </w:tc>
        <w:tc>
          <w:tcPr>
            <w:tcW w:w="409" w:type="pct"/>
            <w:vAlign w:val="center"/>
          </w:tcPr>
          <w:p>
            <w:pPr>
              <w:jc w:val="center"/>
              <w:rPr>
                <w:rFonts w:ascii="仿宋_GB2312" w:eastAsia="仿宋_GB2312"/>
                <w:color w:val="000000"/>
              </w:rPr>
            </w:pPr>
            <w:r>
              <w:rPr>
                <w:rFonts w:hint="eastAsia" w:ascii="仿宋_GB2312" w:eastAsia="仿宋_GB2312"/>
                <w:color w:val="000000"/>
              </w:rPr>
              <w:t>0.1</w:t>
            </w:r>
          </w:p>
        </w:tc>
        <w:tc>
          <w:tcPr>
            <w:tcW w:w="512" w:type="pct"/>
            <w:vAlign w:val="center"/>
          </w:tcPr>
          <w:p>
            <w:pPr>
              <w:jc w:val="center"/>
              <w:rPr>
                <w:rFonts w:ascii="仿宋_GB2312" w:eastAsia="仿宋_GB2312"/>
                <w:color w:val="000000"/>
              </w:rPr>
            </w:pPr>
            <w:r>
              <w:rPr>
                <w:rFonts w:hint="eastAsia" w:ascii="仿宋_GB2312" w:eastAsia="仿宋_GB2312"/>
                <w:color w:val="000000"/>
              </w:rPr>
              <w:t>0.1</w:t>
            </w:r>
          </w:p>
        </w:tc>
        <w:tc>
          <w:tcPr>
            <w:tcW w:w="461" w:type="pct"/>
            <w:vAlign w:val="center"/>
          </w:tcPr>
          <w:p>
            <w:pPr>
              <w:jc w:val="center"/>
              <w:rPr>
                <w:rFonts w:ascii="仿宋_GB2312" w:eastAsia="仿宋_GB2312"/>
                <w:color w:val="000000"/>
              </w:rPr>
            </w:pPr>
            <w:r>
              <w:rPr>
                <w:rFonts w:hint="eastAsia" w:ascii="仿宋_GB2312" w:eastAsia="仿宋_GB2312"/>
                <w:color w:val="000000"/>
              </w:rPr>
              <w:t>2023</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13.8</w:t>
            </w:r>
          </w:p>
        </w:tc>
        <w:tc>
          <w:tcPr>
            <w:tcW w:w="512" w:type="pct"/>
            <w:vAlign w:val="center"/>
          </w:tcPr>
          <w:p>
            <w:pPr>
              <w:jc w:val="center"/>
              <w:rPr>
                <w:rFonts w:ascii="仿宋_GB2312" w:eastAsia="仿宋_GB2312"/>
                <w:color w:val="000000"/>
              </w:rPr>
            </w:pPr>
            <w:r>
              <w:rPr>
                <w:rFonts w:hint="eastAsia" w:ascii="仿宋_GB2312" w:eastAsia="仿宋_GB2312"/>
                <w:color w:val="000000"/>
              </w:rPr>
              <w:t>13.8</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三</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服务设施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79"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国省干线服务区建设</w:t>
            </w:r>
          </w:p>
        </w:tc>
        <w:tc>
          <w:tcPr>
            <w:tcW w:w="1837" w:type="pct"/>
            <w:vAlign w:val="center"/>
          </w:tcPr>
          <w:p>
            <w:pPr>
              <w:rPr>
                <w:rFonts w:ascii="仿宋_GB2312" w:eastAsia="仿宋_GB2312"/>
                <w:color w:val="000000"/>
              </w:rPr>
            </w:pPr>
            <w:r>
              <w:rPr>
                <w:rFonts w:hint="eastAsia" w:ascii="仿宋_GB2312" w:eastAsia="仿宋_GB2312"/>
                <w:color w:val="000000"/>
              </w:rPr>
              <w:t>30个国省干线服务设施建设。</w:t>
            </w:r>
          </w:p>
        </w:tc>
        <w:tc>
          <w:tcPr>
            <w:tcW w:w="409" w:type="pct"/>
            <w:vAlign w:val="center"/>
          </w:tcPr>
          <w:p>
            <w:pPr>
              <w:jc w:val="center"/>
              <w:rPr>
                <w:rFonts w:ascii="仿宋_GB2312" w:eastAsia="仿宋_GB2312"/>
                <w:color w:val="000000"/>
              </w:rPr>
            </w:pPr>
            <w:r>
              <w:rPr>
                <w:rFonts w:hint="eastAsia" w:ascii="仿宋_GB2312" w:eastAsia="仿宋_GB2312"/>
                <w:color w:val="000000"/>
              </w:rPr>
              <w:t>1.2</w:t>
            </w:r>
          </w:p>
        </w:tc>
        <w:tc>
          <w:tcPr>
            <w:tcW w:w="512" w:type="pct"/>
            <w:vAlign w:val="center"/>
          </w:tcPr>
          <w:p>
            <w:pPr>
              <w:jc w:val="center"/>
              <w:rPr>
                <w:rFonts w:ascii="仿宋_GB2312" w:eastAsia="仿宋_GB2312"/>
                <w:color w:val="000000"/>
              </w:rPr>
            </w:pPr>
            <w:r>
              <w:rPr>
                <w:rFonts w:hint="eastAsia" w:ascii="仿宋_GB2312" w:eastAsia="仿宋_GB2312"/>
                <w:color w:val="000000"/>
              </w:rPr>
              <w:t>1.2</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18"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农村公路节点设施建设</w:t>
            </w:r>
          </w:p>
        </w:tc>
        <w:tc>
          <w:tcPr>
            <w:tcW w:w="1837" w:type="pct"/>
            <w:vAlign w:val="center"/>
          </w:tcPr>
          <w:p>
            <w:pPr>
              <w:rPr>
                <w:rFonts w:ascii="仿宋_GB2312" w:eastAsia="仿宋_GB2312"/>
                <w:color w:val="000000"/>
              </w:rPr>
            </w:pPr>
            <w:r>
              <w:rPr>
                <w:rFonts w:hint="eastAsia" w:ascii="仿宋_GB2312" w:eastAsia="仿宋_GB2312"/>
                <w:color w:val="000000"/>
              </w:rPr>
              <w:t>40个农村公路节点设施建设。</w:t>
            </w:r>
          </w:p>
        </w:tc>
        <w:tc>
          <w:tcPr>
            <w:tcW w:w="409" w:type="pct"/>
            <w:vAlign w:val="center"/>
          </w:tcPr>
          <w:p>
            <w:pPr>
              <w:jc w:val="center"/>
              <w:rPr>
                <w:rFonts w:ascii="仿宋_GB2312" w:eastAsia="仿宋_GB2312"/>
                <w:color w:val="000000"/>
              </w:rPr>
            </w:pPr>
            <w:r>
              <w:rPr>
                <w:rFonts w:hint="eastAsia" w:ascii="仿宋_GB2312" w:eastAsia="仿宋_GB2312"/>
                <w:color w:val="000000"/>
              </w:rPr>
              <w:t>0.8</w:t>
            </w:r>
          </w:p>
        </w:tc>
        <w:tc>
          <w:tcPr>
            <w:tcW w:w="512" w:type="pct"/>
            <w:vAlign w:val="center"/>
          </w:tcPr>
          <w:p>
            <w:pPr>
              <w:jc w:val="center"/>
              <w:rPr>
                <w:rFonts w:ascii="仿宋_GB2312" w:eastAsia="仿宋_GB2312"/>
                <w:color w:val="000000"/>
              </w:rPr>
            </w:pPr>
            <w:r>
              <w:rPr>
                <w:rFonts w:hint="eastAsia" w:ascii="仿宋_GB2312" w:eastAsia="仿宋_GB2312"/>
                <w:color w:val="000000"/>
              </w:rPr>
              <w:t>0.8</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2.0</w:t>
            </w:r>
          </w:p>
        </w:tc>
        <w:tc>
          <w:tcPr>
            <w:tcW w:w="512" w:type="pct"/>
            <w:vAlign w:val="center"/>
          </w:tcPr>
          <w:p>
            <w:pPr>
              <w:jc w:val="center"/>
              <w:rPr>
                <w:rFonts w:ascii="仿宋_GB2312" w:eastAsia="仿宋_GB2312"/>
                <w:color w:val="000000"/>
              </w:rPr>
            </w:pPr>
            <w:r>
              <w:rPr>
                <w:rFonts w:hint="eastAsia" w:ascii="仿宋_GB2312" w:eastAsia="仿宋_GB2312"/>
                <w:color w:val="000000"/>
              </w:rPr>
              <w:t>2.0</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452" w:type="pct"/>
            <w:vAlign w:val="center"/>
          </w:tcPr>
          <w:p>
            <w:pPr>
              <w:jc w:val="center"/>
              <w:rPr>
                <w:rFonts w:ascii="黑体" w:hAnsi="黑体" w:eastAsia="黑体" w:cs="宋体"/>
                <w:bCs/>
                <w:color w:val="000000"/>
              </w:rPr>
            </w:pPr>
            <w:r>
              <w:rPr>
                <w:rFonts w:hint="eastAsia" w:ascii="黑体" w:hAnsi="黑体" w:eastAsia="黑体" w:cs="宋体"/>
                <w:bCs/>
                <w:color w:val="000000"/>
              </w:rPr>
              <w:t>四</w:t>
            </w:r>
          </w:p>
        </w:tc>
        <w:tc>
          <w:tcPr>
            <w:tcW w:w="4548" w:type="pct"/>
            <w:gridSpan w:val="6"/>
            <w:vAlign w:val="center"/>
          </w:tcPr>
          <w:p>
            <w:pPr>
              <w:rPr>
                <w:rFonts w:ascii="黑体" w:hAnsi="黑体" w:eastAsia="黑体" w:cs="宋体"/>
                <w:bCs/>
                <w:color w:val="000000"/>
              </w:rPr>
            </w:pPr>
            <w:r>
              <w:rPr>
                <w:rFonts w:hint="eastAsia" w:ascii="黑体" w:hAnsi="黑体" w:eastAsia="黑体" w:cs="宋体"/>
                <w:bCs/>
                <w:color w:val="000000"/>
              </w:rPr>
              <w:t>物流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61" w:hRule="exact"/>
        </w:trPr>
        <w:tc>
          <w:tcPr>
            <w:tcW w:w="452" w:type="pct"/>
            <w:vAlign w:val="center"/>
          </w:tcPr>
          <w:p>
            <w:pPr>
              <w:jc w:val="center"/>
              <w:rPr>
                <w:rFonts w:ascii="仿宋_GB2312" w:eastAsia="仿宋_GB2312"/>
                <w:color w:val="000000"/>
              </w:rPr>
            </w:pPr>
            <w:r>
              <w:rPr>
                <w:rFonts w:hint="eastAsia" w:ascii="仿宋_GB2312" w:eastAsia="仿宋_GB2312"/>
                <w:color w:val="000000"/>
              </w:rPr>
              <w:t>1</w:t>
            </w:r>
          </w:p>
        </w:tc>
        <w:tc>
          <w:tcPr>
            <w:tcW w:w="870" w:type="pct"/>
            <w:vAlign w:val="center"/>
          </w:tcPr>
          <w:p>
            <w:pPr>
              <w:jc w:val="center"/>
              <w:rPr>
                <w:rFonts w:ascii="仿宋_GB2312" w:eastAsia="仿宋_GB2312"/>
                <w:color w:val="000000"/>
              </w:rPr>
            </w:pPr>
            <w:r>
              <w:rPr>
                <w:rFonts w:hint="eastAsia" w:ascii="仿宋_GB2312" w:eastAsia="仿宋_GB2312"/>
                <w:color w:val="000000"/>
              </w:rPr>
              <w:t>青阳县物流配送中心</w:t>
            </w:r>
          </w:p>
        </w:tc>
        <w:tc>
          <w:tcPr>
            <w:tcW w:w="1837" w:type="pct"/>
            <w:vAlign w:val="center"/>
          </w:tcPr>
          <w:p>
            <w:pPr>
              <w:rPr>
                <w:rFonts w:ascii="仿宋_GB2312" w:eastAsia="仿宋_GB2312"/>
                <w:color w:val="000000"/>
              </w:rPr>
            </w:pPr>
            <w:r>
              <w:rPr>
                <w:rFonts w:hint="eastAsia" w:ascii="仿宋_GB2312" w:eastAsia="仿宋_GB2312"/>
                <w:color w:val="000000"/>
              </w:rPr>
              <w:t>1个县级中心、10个乡镇综合服务站、100个村级综合服务点；县域内物流配送中心和乡村三级物流配送体系。</w:t>
            </w:r>
          </w:p>
        </w:tc>
        <w:tc>
          <w:tcPr>
            <w:tcW w:w="409" w:type="pct"/>
            <w:vAlign w:val="center"/>
          </w:tcPr>
          <w:p>
            <w:pPr>
              <w:jc w:val="center"/>
              <w:rPr>
                <w:rFonts w:ascii="仿宋_GB2312" w:eastAsia="仿宋_GB2312"/>
                <w:color w:val="000000"/>
              </w:rPr>
            </w:pPr>
            <w:r>
              <w:rPr>
                <w:rFonts w:hint="eastAsia" w:ascii="仿宋_GB2312" w:eastAsia="仿宋_GB2312"/>
                <w:color w:val="000000"/>
              </w:rPr>
              <w:t>1.08</w:t>
            </w:r>
          </w:p>
        </w:tc>
        <w:tc>
          <w:tcPr>
            <w:tcW w:w="512" w:type="pct"/>
            <w:vAlign w:val="center"/>
          </w:tcPr>
          <w:p>
            <w:pPr>
              <w:jc w:val="center"/>
              <w:rPr>
                <w:rFonts w:ascii="仿宋_GB2312" w:eastAsia="仿宋_GB2312"/>
                <w:color w:val="000000"/>
              </w:rPr>
            </w:pPr>
            <w:r>
              <w:rPr>
                <w:rFonts w:hint="eastAsia" w:ascii="仿宋_GB2312" w:eastAsia="仿宋_GB2312"/>
                <w:color w:val="000000"/>
              </w:rPr>
              <w:t>1.08</w:t>
            </w:r>
          </w:p>
        </w:tc>
        <w:tc>
          <w:tcPr>
            <w:tcW w:w="461" w:type="pct"/>
            <w:vAlign w:val="center"/>
          </w:tcPr>
          <w:p>
            <w:pPr>
              <w:jc w:val="center"/>
              <w:rPr>
                <w:rFonts w:ascii="仿宋_GB2312" w:eastAsia="仿宋_GB2312"/>
                <w:color w:val="000000"/>
              </w:rPr>
            </w:pPr>
            <w:r>
              <w:rPr>
                <w:rFonts w:hint="eastAsia" w:ascii="仿宋_GB2312" w:eastAsia="仿宋_GB2312"/>
                <w:color w:val="000000"/>
              </w:rPr>
              <w:t>2021</w:t>
            </w:r>
          </w:p>
        </w:tc>
        <w:tc>
          <w:tcPr>
            <w:tcW w:w="459" w:type="pct"/>
            <w:vAlign w:val="center"/>
          </w:tcPr>
          <w:p>
            <w:pPr>
              <w:jc w:val="center"/>
              <w:rPr>
                <w:rFonts w:ascii="仿宋_GB2312" w:eastAsia="仿宋_GB2312"/>
                <w:color w:val="000000"/>
              </w:rPr>
            </w:pPr>
            <w:r>
              <w:rPr>
                <w:rFonts w:hint="eastAsia" w:ascii="仿宋_GB2312" w:eastAsia="仿宋_GB2312"/>
                <w:color w:val="000000"/>
              </w:rPr>
              <w:t>2024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61" w:hRule="exact"/>
        </w:trPr>
        <w:tc>
          <w:tcPr>
            <w:tcW w:w="452" w:type="pct"/>
            <w:vAlign w:val="center"/>
          </w:tcPr>
          <w:p>
            <w:pPr>
              <w:jc w:val="center"/>
              <w:rPr>
                <w:rFonts w:ascii="仿宋_GB2312" w:eastAsia="仿宋_GB2312"/>
                <w:color w:val="000000"/>
              </w:rPr>
            </w:pPr>
            <w:r>
              <w:rPr>
                <w:rFonts w:hint="eastAsia" w:ascii="仿宋_GB2312" w:eastAsia="仿宋_GB2312"/>
                <w:color w:val="000000"/>
              </w:rPr>
              <w:t>2</w:t>
            </w:r>
          </w:p>
        </w:tc>
        <w:tc>
          <w:tcPr>
            <w:tcW w:w="870" w:type="pct"/>
            <w:vAlign w:val="center"/>
          </w:tcPr>
          <w:p>
            <w:pPr>
              <w:jc w:val="center"/>
              <w:rPr>
                <w:rFonts w:ascii="仿宋_GB2312" w:eastAsia="仿宋_GB2312"/>
                <w:color w:val="000000"/>
              </w:rPr>
            </w:pPr>
            <w:r>
              <w:rPr>
                <w:rFonts w:hint="eastAsia" w:ascii="仿宋_GB2312" w:eastAsia="仿宋_GB2312"/>
                <w:color w:val="000000"/>
              </w:rPr>
              <w:t>青阳县综合物流园区</w:t>
            </w:r>
          </w:p>
        </w:tc>
        <w:tc>
          <w:tcPr>
            <w:tcW w:w="1837" w:type="pct"/>
            <w:vAlign w:val="center"/>
          </w:tcPr>
          <w:p>
            <w:pPr>
              <w:rPr>
                <w:rFonts w:ascii="仿宋_GB2312" w:eastAsia="仿宋_GB2312"/>
                <w:color w:val="000000"/>
              </w:rPr>
            </w:pPr>
            <w:r>
              <w:rPr>
                <w:rFonts w:hint="eastAsia" w:ascii="仿宋_GB2312" w:eastAsia="仿宋_GB2312"/>
                <w:color w:val="000000"/>
              </w:rPr>
              <w:t>位于县城东侧G318和G330交界处，占地约300亩，拟建设大型货车停车场、仓储配货功能区、办公楼及配套设施、厂区、餐饮酒店等。</w:t>
            </w:r>
          </w:p>
        </w:tc>
        <w:tc>
          <w:tcPr>
            <w:tcW w:w="409" w:type="pct"/>
            <w:vAlign w:val="center"/>
          </w:tcPr>
          <w:p>
            <w:pPr>
              <w:jc w:val="center"/>
              <w:rPr>
                <w:rFonts w:ascii="仿宋_GB2312" w:eastAsia="仿宋_GB2312"/>
                <w:color w:val="000000"/>
              </w:rPr>
            </w:pPr>
            <w:r>
              <w:rPr>
                <w:rFonts w:hint="eastAsia" w:ascii="仿宋_GB2312" w:eastAsia="仿宋_GB2312"/>
                <w:color w:val="000000"/>
              </w:rPr>
              <w:t>0.8</w:t>
            </w:r>
          </w:p>
        </w:tc>
        <w:tc>
          <w:tcPr>
            <w:tcW w:w="512" w:type="pct"/>
            <w:vAlign w:val="center"/>
          </w:tcPr>
          <w:p>
            <w:pPr>
              <w:jc w:val="center"/>
              <w:rPr>
                <w:rFonts w:ascii="仿宋_GB2312" w:eastAsia="仿宋_GB2312"/>
                <w:color w:val="000000"/>
              </w:rPr>
            </w:pPr>
            <w:r>
              <w:rPr>
                <w:rFonts w:hint="eastAsia" w:ascii="仿宋_GB2312" w:eastAsia="仿宋_GB2312"/>
                <w:color w:val="000000"/>
              </w:rPr>
              <w:t>0.8</w:t>
            </w:r>
          </w:p>
        </w:tc>
        <w:tc>
          <w:tcPr>
            <w:tcW w:w="461" w:type="pct"/>
            <w:vAlign w:val="center"/>
          </w:tcPr>
          <w:p>
            <w:pPr>
              <w:jc w:val="center"/>
              <w:rPr>
                <w:rFonts w:ascii="仿宋_GB2312" w:eastAsia="仿宋_GB2312"/>
                <w:color w:val="000000"/>
              </w:rPr>
            </w:pPr>
            <w:r>
              <w:rPr>
                <w:rFonts w:hint="eastAsia" w:ascii="仿宋_GB2312" w:eastAsia="仿宋_GB2312"/>
                <w:color w:val="000000"/>
              </w:rPr>
              <w:t>2023</w:t>
            </w:r>
          </w:p>
        </w:tc>
        <w:tc>
          <w:tcPr>
            <w:tcW w:w="459"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小计</w:t>
            </w:r>
          </w:p>
        </w:tc>
        <w:tc>
          <w:tcPr>
            <w:tcW w:w="409" w:type="pct"/>
            <w:vAlign w:val="center"/>
          </w:tcPr>
          <w:p>
            <w:pPr>
              <w:jc w:val="center"/>
              <w:rPr>
                <w:rFonts w:ascii="仿宋_GB2312" w:eastAsia="仿宋_GB2312"/>
                <w:color w:val="000000"/>
              </w:rPr>
            </w:pPr>
            <w:r>
              <w:rPr>
                <w:rFonts w:hint="eastAsia" w:ascii="仿宋_GB2312" w:eastAsia="仿宋_GB2312"/>
                <w:color w:val="000000"/>
              </w:rPr>
              <w:t>1.88</w:t>
            </w:r>
          </w:p>
        </w:tc>
        <w:tc>
          <w:tcPr>
            <w:tcW w:w="512" w:type="pct"/>
            <w:vAlign w:val="center"/>
          </w:tcPr>
          <w:p>
            <w:pPr>
              <w:jc w:val="center"/>
              <w:rPr>
                <w:rFonts w:ascii="仿宋_GB2312" w:eastAsia="仿宋_GB2312"/>
                <w:color w:val="000000"/>
              </w:rPr>
            </w:pPr>
            <w:r>
              <w:rPr>
                <w:rFonts w:hint="eastAsia" w:ascii="仿宋_GB2312" w:eastAsia="仿宋_GB2312"/>
                <w:color w:val="000000"/>
              </w:rPr>
              <w:t>1.88</w:t>
            </w:r>
          </w:p>
        </w:tc>
        <w:tc>
          <w:tcPr>
            <w:tcW w:w="920"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3159" w:type="pct"/>
            <w:gridSpan w:val="3"/>
            <w:vAlign w:val="center"/>
          </w:tcPr>
          <w:p>
            <w:pPr>
              <w:jc w:val="center"/>
              <w:rPr>
                <w:rFonts w:ascii="仿宋_GB2312" w:eastAsia="仿宋_GB2312"/>
                <w:color w:val="000000"/>
              </w:rPr>
            </w:pPr>
            <w:r>
              <w:rPr>
                <w:rFonts w:hint="eastAsia" w:ascii="仿宋_GB2312" w:eastAsia="仿宋_GB2312"/>
                <w:color w:val="000000"/>
              </w:rPr>
              <w:t>合计</w:t>
            </w:r>
          </w:p>
        </w:tc>
        <w:tc>
          <w:tcPr>
            <w:tcW w:w="409" w:type="pct"/>
            <w:vAlign w:val="center"/>
          </w:tcPr>
          <w:p>
            <w:pPr>
              <w:jc w:val="center"/>
              <w:rPr>
                <w:rFonts w:ascii="仿宋_GB2312" w:eastAsia="仿宋_GB2312"/>
                <w:color w:val="000000"/>
              </w:rPr>
            </w:pPr>
            <w:r>
              <w:rPr>
                <w:rFonts w:hint="eastAsia" w:ascii="仿宋_GB2312" w:eastAsia="仿宋_GB2312"/>
                <w:color w:val="000000"/>
              </w:rPr>
              <w:t>18.68</w:t>
            </w:r>
          </w:p>
        </w:tc>
        <w:tc>
          <w:tcPr>
            <w:tcW w:w="512" w:type="pct"/>
            <w:vAlign w:val="center"/>
          </w:tcPr>
          <w:p>
            <w:pPr>
              <w:jc w:val="center"/>
              <w:rPr>
                <w:rFonts w:ascii="仿宋_GB2312" w:eastAsia="仿宋_GB2312"/>
                <w:color w:val="000000"/>
              </w:rPr>
            </w:pPr>
            <w:r>
              <w:rPr>
                <w:rFonts w:hint="eastAsia" w:ascii="仿宋_GB2312" w:eastAsia="仿宋_GB2312"/>
                <w:color w:val="000000"/>
              </w:rPr>
              <w:t>18.68</w:t>
            </w:r>
          </w:p>
        </w:tc>
        <w:tc>
          <w:tcPr>
            <w:tcW w:w="920" w:type="pct"/>
            <w:gridSpan w:val="2"/>
            <w:vAlign w:val="center"/>
          </w:tcPr>
          <w:p>
            <w:pPr>
              <w:jc w:val="center"/>
              <w:rPr>
                <w:rFonts w:ascii="仿宋_GB2312" w:eastAsia="仿宋_GB2312"/>
                <w:color w:val="000000"/>
              </w:rPr>
            </w:pPr>
          </w:p>
        </w:tc>
      </w:tr>
    </w:tbl>
    <w:p>
      <w:pPr>
        <w:pStyle w:val="61"/>
        <w:ind w:firstLine="0" w:firstLineChars="0"/>
      </w:pPr>
    </w:p>
    <w:p>
      <w:pPr>
        <w:pStyle w:val="61"/>
        <w:ind w:firstLine="0" w:firstLineChars="0"/>
      </w:pPr>
    </w:p>
    <w:p>
      <w:pPr>
        <w:pStyle w:val="61"/>
        <w:ind w:firstLine="0" w:firstLineChars="0"/>
      </w:pPr>
    </w:p>
    <w:p>
      <w:pPr>
        <w:pStyle w:val="2"/>
        <w:spacing w:before="0" w:after="0" w:line="360" w:lineRule="auto"/>
        <w:jc w:val="left"/>
        <w:rPr>
          <w:rFonts w:ascii="黑体" w:hAnsi="黑体" w:eastAsia="黑体"/>
          <w:b w:val="0"/>
          <w:sz w:val="28"/>
          <w:szCs w:val="28"/>
        </w:rPr>
      </w:pPr>
      <w:bookmarkStart w:id="114" w:name="_Toc99394942"/>
      <w:bookmarkStart w:id="115" w:name="_Toc104537530"/>
      <w:r>
        <w:rPr>
          <w:rFonts w:ascii="黑体" w:hAnsi="黑体" w:eastAsia="黑体"/>
          <w:b w:val="0"/>
          <w:sz w:val="28"/>
          <w:szCs w:val="28"/>
        </w:rPr>
        <w:t>附</w:t>
      </w:r>
      <w:r>
        <w:rPr>
          <w:rFonts w:hint="eastAsia" w:ascii="黑体" w:hAnsi="黑体" w:eastAsia="黑体"/>
          <w:b w:val="0"/>
          <w:sz w:val="28"/>
          <w:szCs w:val="28"/>
        </w:rPr>
        <w:t>表8：智慧交通、科技治超项目建设项目库</w:t>
      </w:r>
      <w:bookmarkEnd w:id="114"/>
      <w:bookmarkEnd w:id="115"/>
    </w:p>
    <w:tbl>
      <w:tblPr>
        <w:tblStyle w:val="24"/>
        <w:tblW w:w="4939"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1372"/>
        <w:gridCol w:w="241"/>
        <w:gridCol w:w="686"/>
        <w:gridCol w:w="5404"/>
        <w:gridCol w:w="1134"/>
        <w:gridCol w:w="1417"/>
        <w:gridCol w:w="1277"/>
        <w:gridCol w:w="127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exact"/>
        </w:trPr>
        <w:tc>
          <w:tcPr>
            <w:tcW w:w="427" w:type="pct"/>
            <w:vAlign w:val="center"/>
          </w:tcPr>
          <w:p>
            <w:pPr>
              <w:jc w:val="center"/>
              <w:rPr>
                <w:rFonts w:ascii="黑体" w:hAnsi="黑体" w:eastAsia="黑体" w:cs="宋体"/>
                <w:bCs/>
                <w:color w:val="000000"/>
              </w:rPr>
            </w:pPr>
            <w:r>
              <w:rPr>
                <w:rFonts w:hint="eastAsia" w:ascii="黑体" w:hAnsi="黑体" w:eastAsia="黑体" w:cs="宋体"/>
                <w:bCs/>
                <w:color w:val="000000"/>
              </w:rPr>
              <w:t>序号</w:t>
            </w:r>
          </w:p>
        </w:tc>
        <w:tc>
          <w:tcPr>
            <w:tcW w:w="821" w:type="pct"/>
            <w:gridSpan w:val="3"/>
            <w:vAlign w:val="center"/>
          </w:tcPr>
          <w:p>
            <w:pPr>
              <w:jc w:val="center"/>
              <w:rPr>
                <w:rFonts w:ascii="黑体" w:hAnsi="黑体" w:eastAsia="黑体" w:cs="宋体"/>
                <w:bCs/>
                <w:color w:val="000000"/>
              </w:rPr>
            </w:pPr>
            <w:r>
              <w:rPr>
                <w:rFonts w:hint="eastAsia" w:ascii="黑体" w:hAnsi="黑体" w:eastAsia="黑体" w:cs="宋体"/>
                <w:bCs/>
                <w:color w:val="000000"/>
              </w:rPr>
              <w:t>项目名称</w:t>
            </w:r>
          </w:p>
        </w:tc>
        <w:tc>
          <w:tcPr>
            <w:tcW w:w="1930" w:type="pct"/>
            <w:vAlign w:val="center"/>
          </w:tcPr>
          <w:p>
            <w:pPr>
              <w:jc w:val="center"/>
              <w:rPr>
                <w:rFonts w:ascii="黑体" w:hAnsi="黑体" w:eastAsia="黑体" w:cs="宋体"/>
                <w:bCs/>
                <w:color w:val="000000"/>
              </w:rPr>
            </w:pPr>
            <w:r>
              <w:rPr>
                <w:rFonts w:hint="eastAsia" w:ascii="黑体" w:hAnsi="黑体" w:eastAsia="黑体" w:cs="宋体"/>
                <w:bCs/>
                <w:color w:val="000000"/>
              </w:rPr>
              <w:t>建设内容</w:t>
            </w:r>
          </w:p>
        </w:tc>
        <w:tc>
          <w:tcPr>
            <w:tcW w:w="405" w:type="pct"/>
            <w:vAlign w:val="center"/>
          </w:tcPr>
          <w:p>
            <w:pPr>
              <w:jc w:val="center"/>
              <w:rPr>
                <w:rFonts w:ascii="黑体" w:hAnsi="黑体" w:eastAsia="黑体" w:cs="宋体"/>
                <w:bCs/>
                <w:color w:val="000000"/>
              </w:rPr>
            </w:pPr>
            <w:r>
              <w:rPr>
                <w:rFonts w:hint="eastAsia" w:ascii="黑体" w:hAnsi="黑体" w:eastAsia="黑体" w:cs="宋体"/>
                <w:bCs/>
                <w:color w:val="000000"/>
              </w:rPr>
              <w:t>总投资（亿元）</w:t>
            </w:r>
          </w:p>
        </w:tc>
        <w:tc>
          <w:tcPr>
            <w:tcW w:w="506" w:type="pct"/>
            <w:vAlign w:val="center"/>
          </w:tcPr>
          <w:p>
            <w:pPr>
              <w:jc w:val="center"/>
              <w:rPr>
                <w:rFonts w:ascii="黑体" w:hAnsi="黑体" w:eastAsia="黑体" w:cs="宋体"/>
                <w:bCs/>
                <w:color w:val="000000"/>
              </w:rPr>
            </w:pPr>
            <w:r>
              <w:rPr>
                <w:rFonts w:hint="eastAsia" w:ascii="黑体" w:hAnsi="黑体" w:eastAsia="黑体" w:cs="宋体"/>
                <w:bCs/>
                <w:color w:val="000000"/>
              </w:rPr>
              <w:t>十四五投资（亿元）</w:t>
            </w:r>
          </w:p>
        </w:tc>
        <w:tc>
          <w:tcPr>
            <w:tcW w:w="456" w:type="pct"/>
            <w:vAlign w:val="center"/>
          </w:tcPr>
          <w:p>
            <w:pPr>
              <w:jc w:val="center"/>
              <w:rPr>
                <w:rFonts w:ascii="黑体" w:hAnsi="黑体" w:eastAsia="黑体" w:cs="宋体"/>
                <w:bCs/>
                <w:color w:val="000000"/>
              </w:rPr>
            </w:pPr>
            <w:r>
              <w:rPr>
                <w:rFonts w:hint="eastAsia" w:ascii="黑体" w:hAnsi="黑体" w:eastAsia="黑体" w:cs="宋体"/>
                <w:bCs/>
                <w:color w:val="000000"/>
              </w:rPr>
              <w:t>拟建时间</w:t>
            </w:r>
          </w:p>
        </w:tc>
        <w:tc>
          <w:tcPr>
            <w:tcW w:w="456" w:type="pct"/>
            <w:vAlign w:val="center"/>
          </w:tcPr>
          <w:p>
            <w:pPr>
              <w:jc w:val="center"/>
              <w:rPr>
                <w:rFonts w:ascii="黑体" w:hAnsi="黑体" w:eastAsia="黑体" w:cs="宋体"/>
                <w:bCs/>
                <w:color w:val="000000"/>
              </w:rPr>
            </w:pPr>
            <w:r>
              <w:rPr>
                <w:rFonts w:hint="eastAsia" w:ascii="黑体" w:hAnsi="黑体" w:eastAsia="黑体" w:cs="宋体"/>
                <w:bCs/>
                <w:color w:val="000000"/>
              </w:rPr>
              <w:t>完成时间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6"/>
          <w:wAfter w:w="3997" w:type="pct"/>
          <w:trHeight w:val="406" w:hRule="exact"/>
        </w:trPr>
        <w:tc>
          <w:tcPr>
            <w:tcW w:w="427" w:type="pct"/>
            <w:vAlign w:val="center"/>
          </w:tcPr>
          <w:p>
            <w:pPr>
              <w:jc w:val="center"/>
              <w:rPr>
                <w:rFonts w:ascii="黑体" w:hAnsi="黑体" w:eastAsia="黑体" w:cs="宋体"/>
                <w:bCs/>
                <w:color w:val="000000"/>
              </w:rPr>
            </w:pPr>
            <w:r>
              <w:rPr>
                <w:rFonts w:hint="eastAsia" w:ascii="黑体" w:hAnsi="黑体" w:eastAsia="黑体" w:cs="宋体"/>
                <w:bCs/>
                <w:color w:val="000000"/>
              </w:rPr>
              <w:t>一</w:t>
            </w:r>
          </w:p>
        </w:tc>
        <w:tc>
          <w:tcPr>
            <w:tcW w:w="490" w:type="pct"/>
          </w:tcPr>
          <w:p>
            <w:pPr>
              <w:rPr>
                <w:rFonts w:ascii="黑体" w:hAnsi="黑体" w:eastAsia="黑体" w:cs="宋体"/>
                <w:bCs/>
                <w:color w:val="000000"/>
              </w:rPr>
            </w:pPr>
            <w:r>
              <w:rPr>
                <w:rFonts w:hint="eastAsia" w:ascii="黑体" w:hAnsi="黑体" w:eastAsia="黑体" w:cs="宋体"/>
                <w:bCs/>
                <w:color w:val="000000"/>
              </w:rPr>
              <w:t>智慧交通</w:t>
            </w:r>
          </w:p>
        </w:tc>
        <w:tc>
          <w:tcPr>
            <w:tcW w:w="86" w:type="pct"/>
          </w:tcPr>
          <w:p>
            <w:pPr>
              <w:rPr>
                <w:rFonts w:ascii="黑体" w:hAnsi="黑体" w:eastAsia="黑体" w:cs="宋体"/>
                <w:bCs/>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44" w:hRule="exact"/>
        </w:trPr>
        <w:tc>
          <w:tcPr>
            <w:tcW w:w="427" w:type="pct"/>
            <w:vAlign w:val="center"/>
          </w:tcPr>
          <w:p>
            <w:pPr>
              <w:jc w:val="center"/>
              <w:rPr>
                <w:rFonts w:ascii="仿宋_GB2312" w:eastAsia="仿宋_GB2312"/>
                <w:color w:val="000000"/>
              </w:rPr>
            </w:pPr>
            <w:r>
              <w:rPr>
                <w:rFonts w:hint="eastAsia" w:ascii="仿宋_GB2312" w:eastAsia="仿宋_GB2312"/>
                <w:color w:val="000000"/>
              </w:rPr>
              <w:t>1</w:t>
            </w:r>
          </w:p>
        </w:tc>
        <w:tc>
          <w:tcPr>
            <w:tcW w:w="821" w:type="pct"/>
            <w:gridSpan w:val="3"/>
            <w:vAlign w:val="center"/>
          </w:tcPr>
          <w:p>
            <w:pPr>
              <w:jc w:val="center"/>
              <w:rPr>
                <w:rFonts w:ascii="仿宋_GB2312" w:eastAsia="仿宋_GB2312"/>
                <w:color w:val="000000"/>
              </w:rPr>
            </w:pPr>
            <w:r>
              <w:rPr>
                <w:rFonts w:hint="eastAsia" w:ascii="仿宋_GB2312" w:eastAsia="仿宋_GB2312"/>
                <w:color w:val="000000"/>
              </w:rPr>
              <w:t>青阳县交通运输信息中心</w:t>
            </w:r>
          </w:p>
        </w:tc>
        <w:tc>
          <w:tcPr>
            <w:tcW w:w="1930" w:type="pct"/>
            <w:vAlign w:val="center"/>
          </w:tcPr>
          <w:p>
            <w:pPr>
              <w:rPr>
                <w:rFonts w:ascii="仿宋_GB2312" w:eastAsia="仿宋_GB2312"/>
                <w:color w:val="000000"/>
              </w:rPr>
            </w:pPr>
            <w:r>
              <w:rPr>
                <w:rFonts w:hint="eastAsia" w:ascii="仿宋_GB2312" w:eastAsia="仿宋_GB2312"/>
                <w:color w:val="000000"/>
              </w:rPr>
              <w:t>机房、信息平台和终端建设；TOCC应用建设；客货交通运输、公交出租、源头治超、非现场执法监管机房、管养信息平台和终端及日常维护。</w:t>
            </w:r>
          </w:p>
        </w:tc>
        <w:tc>
          <w:tcPr>
            <w:tcW w:w="405" w:type="pct"/>
            <w:vAlign w:val="center"/>
          </w:tcPr>
          <w:p>
            <w:pPr>
              <w:jc w:val="center"/>
              <w:rPr>
                <w:rFonts w:ascii="仿宋_GB2312" w:eastAsia="仿宋_GB2312"/>
                <w:color w:val="000000"/>
              </w:rPr>
            </w:pPr>
            <w:r>
              <w:rPr>
                <w:rFonts w:hint="eastAsia" w:ascii="仿宋_GB2312" w:eastAsia="仿宋_GB2312"/>
                <w:color w:val="000000"/>
              </w:rPr>
              <w:t>0.2</w:t>
            </w:r>
          </w:p>
        </w:tc>
        <w:tc>
          <w:tcPr>
            <w:tcW w:w="506" w:type="pct"/>
            <w:vAlign w:val="center"/>
          </w:tcPr>
          <w:p>
            <w:pPr>
              <w:jc w:val="center"/>
              <w:rPr>
                <w:rFonts w:ascii="仿宋_GB2312" w:eastAsia="仿宋_GB2312"/>
                <w:color w:val="000000"/>
              </w:rPr>
            </w:pPr>
            <w:r>
              <w:rPr>
                <w:rFonts w:hint="eastAsia" w:ascii="仿宋_GB2312" w:eastAsia="仿宋_GB2312"/>
                <w:color w:val="000000"/>
              </w:rPr>
              <w:t>0.18</w:t>
            </w:r>
          </w:p>
        </w:tc>
        <w:tc>
          <w:tcPr>
            <w:tcW w:w="456" w:type="pct"/>
            <w:vAlign w:val="center"/>
          </w:tcPr>
          <w:p>
            <w:pPr>
              <w:jc w:val="center"/>
              <w:rPr>
                <w:rFonts w:ascii="仿宋_GB2312" w:eastAsia="仿宋_GB2312"/>
                <w:color w:val="000000"/>
              </w:rPr>
            </w:pPr>
            <w:r>
              <w:rPr>
                <w:rFonts w:hint="eastAsia" w:ascii="仿宋_GB2312" w:eastAsia="仿宋_GB2312"/>
                <w:color w:val="000000"/>
              </w:rPr>
              <w:t>在建</w:t>
            </w:r>
          </w:p>
        </w:tc>
        <w:tc>
          <w:tcPr>
            <w:tcW w:w="456"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7" w:hRule="exact"/>
        </w:trPr>
        <w:tc>
          <w:tcPr>
            <w:tcW w:w="3177" w:type="pct"/>
            <w:gridSpan w:val="5"/>
            <w:vAlign w:val="center"/>
          </w:tcPr>
          <w:p>
            <w:pPr>
              <w:jc w:val="center"/>
              <w:rPr>
                <w:rFonts w:ascii="仿宋_GB2312" w:eastAsia="仿宋_GB2312"/>
                <w:color w:val="000000"/>
              </w:rPr>
            </w:pPr>
            <w:r>
              <w:rPr>
                <w:rFonts w:hint="eastAsia" w:ascii="仿宋_GB2312" w:eastAsia="仿宋_GB2312"/>
                <w:color w:val="000000"/>
              </w:rPr>
              <w:t>小计</w:t>
            </w:r>
          </w:p>
        </w:tc>
        <w:tc>
          <w:tcPr>
            <w:tcW w:w="405" w:type="pct"/>
            <w:vAlign w:val="center"/>
          </w:tcPr>
          <w:p>
            <w:pPr>
              <w:jc w:val="center"/>
              <w:rPr>
                <w:rFonts w:ascii="仿宋_GB2312" w:eastAsia="仿宋_GB2312"/>
                <w:color w:val="000000"/>
              </w:rPr>
            </w:pPr>
            <w:r>
              <w:rPr>
                <w:rFonts w:hint="eastAsia" w:ascii="仿宋_GB2312" w:eastAsia="仿宋_GB2312"/>
                <w:color w:val="000000"/>
              </w:rPr>
              <w:t>0.2</w:t>
            </w:r>
          </w:p>
        </w:tc>
        <w:tc>
          <w:tcPr>
            <w:tcW w:w="506" w:type="pct"/>
            <w:vAlign w:val="center"/>
          </w:tcPr>
          <w:p>
            <w:pPr>
              <w:jc w:val="center"/>
              <w:rPr>
                <w:rFonts w:ascii="仿宋_GB2312" w:eastAsia="仿宋_GB2312"/>
                <w:color w:val="000000"/>
              </w:rPr>
            </w:pPr>
            <w:r>
              <w:rPr>
                <w:rFonts w:hint="eastAsia" w:ascii="仿宋_GB2312" w:eastAsia="仿宋_GB2312"/>
                <w:color w:val="000000"/>
              </w:rPr>
              <w:t>0.18</w:t>
            </w:r>
          </w:p>
        </w:tc>
        <w:tc>
          <w:tcPr>
            <w:tcW w:w="912"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6"/>
          <w:wAfter w:w="3997" w:type="pct"/>
          <w:trHeight w:val="406" w:hRule="exact"/>
        </w:trPr>
        <w:tc>
          <w:tcPr>
            <w:tcW w:w="427" w:type="pct"/>
            <w:vAlign w:val="center"/>
          </w:tcPr>
          <w:p>
            <w:pPr>
              <w:jc w:val="center"/>
              <w:rPr>
                <w:rFonts w:ascii="黑体" w:hAnsi="黑体" w:eastAsia="黑体" w:cs="宋体"/>
                <w:bCs/>
                <w:color w:val="000000"/>
              </w:rPr>
            </w:pPr>
            <w:r>
              <w:rPr>
                <w:rFonts w:hint="eastAsia" w:ascii="黑体" w:hAnsi="黑体" w:eastAsia="黑体" w:cs="宋体"/>
                <w:bCs/>
                <w:color w:val="000000"/>
              </w:rPr>
              <w:t>二</w:t>
            </w:r>
          </w:p>
        </w:tc>
        <w:tc>
          <w:tcPr>
            <w:tcW w:w="490" w:type="pct"/>
          </w:tcPr>
          <w:p>
            <w:pPr>
              <w:rPr>
                <w:rFonts w:ascii="黑体" w:hAnsi="黑体" w:eastAsia="黑体" w:cs="宋体"/>
                <w:bCs/>
                <w:color w:val="000000"/>
              </w:rPr>
            </w:pPr>
            <w:r>
              <w:rPr>
                <w:rFonts w:hint="eastAsia" w:ascii="黑体" w:hAnsi="黑体" w:eastAsia="黑体" w:cs="宋体"/>
                <w:bCs/>
                <w:color w:val="000000"/>
              </w:rPr>
              <w:t>科技治超</w:t>
            </w:r>
          </w:p>
        </w:tc>
        <w:tc>
          <w:tcPr>
            <w:tcW w:w="86" w:type="pct"/>
          </w:tcPr>
          <w:p>
            <w:pPr>
              <w:rPr>
                <w:rFonts w:ascii="黑体" w:hAnsi="黑体" w:eastAsia="黑体" w:cs="宋体"/>
                <w:bCs/>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05" w:hRule="atLeast"/>
        </w:trPr>
        <w:tc>
          <w:tcPr>
            <w:tcW w:w="427" w:type="pct"/>
            <w:vAlign w:val="center"/>
          </w:tcPr>
          <w:p>
            <w:pPr>
              <w:jc w:val="center"/>
              <w:rPr>
                <w:rFonts w:ascii="仿宋_GB2312" w:eastAsia="仿宋_GB2312"/>
                <w:color w:val="000000"/>
              </w:rPr>
            </w:pPr>
            <w:r>
              <w:rPr>
                <w:rFonts w:hint="eastAsia" w:ascii="仿宋_GB2312" w:eastAsia="仿宋_GB2312"/>
                <w:color w:val="000000"/>
              </w:rPr>
              <w:t>1</w:t>
            </w:r>
          </w:p>
        </w:tc>
        <w:tc>
          <w:tcPr>
            <w:tcW w:w="821" w:type="pct"/>
            <w:gridSpan w:val="3"/>
            <w:vAlign w:val="center"/>
          </w:tcPr>
          <w:p>
            <w:pPr>
              <w:jc w:val="center"/>
              <w:rPr>
                <w:rFonts w:ascii="仿宋_GB2312" w:eastAsia="仿宋_GB2312"/>
                <w:color w:val="000000"/>
              </w:rPr>
            </w:pPr>
            <w:r>
              <w:rPr>
                <w:rFonts w:hint="eastAsia" w:ascii="仿宋_GB2312" w:eastAsia="仿宋_GB2312"/>
                <w:color w:val="000000"/>
              </w:rPr>
              <w:t>科技治超建设</w:t>
            </w:r>
          </w:p>
        </w:tc>
        <w:tc>
          <w:tcPr>
            <w:tcW w:w="1930" w:type="pct"/>
            <w:vAlign w:val="center"/>
          </w:tcPr>
          <w:p>
            <w:pPr>
              <w:rPr>
                <w:rFonts w:ascii="仿宋_GB2312" w:eastAsia="仿宋_GB2312"/>
                <w:color w:val="000000"/>
              </w:rPr>
            </w:pPr>
            <w:r>
              <w:rPr>
                <w:rFonts w:hint="eastAsia" w:ascii="仿宋_GB2312" w:eastAsia="仿宋_GB2312"/>
                <w:color w:val="000000"/>
              </w:rPr>
              <w:t>新建杨田、乔木、S219（陵阳/童埠）、S461（丁桥）共5个治超卡点，新建G330治超站。</w:t>
            </w:r>
          </w:p>
        </w:tc>
        <w:tc>
          <w:tcPr>
            <w:tcW w:w="405" w:type="pct"/>
            <w:vAlign w:val="center"/>
          </w:tcPr>
          <w:p>
            <w:pPr>
              <w:jc w:val="center"/>
              <w:rPr>
                <w:rFonts w:ascii="仿宋_GB2312" w:eastAsia="仿宋_GB2312"/>
                <w:color w:val="000000"/>
              </w:rPr>
            </w:pPr>
            <w:r>
              <w:rPr>
                <w:rFonts w:hint="eastAsia" w:ascii="仿宋_GB2312" w:eastAsia="仿宋_GB2312"/>
                <w:color w:val="000000"/>
              </w:rPr>
              <w:t>0.2</w:t>
            </w:r>
          </w:p>
        </w:tc>
        <w:tc>
          <w:tcPr>
            <w:tcW w:w="506" w:type="pct"/>
            <w:vAlign w:val="center"/>
          </w:tcPr>
          <w:p>
            <w:pPr>
              <w:jc w:val="center"/>
              <w:rPr>
                <w:rFonts w:ascii="仿宋_GB2312" w:eastAsia="仿宋_GB2312"/>
                <w:color w:val="000000"/>
              </w:rPr>
            </w:pPr>
            <w:r>
              <w:rPr>
                <w:rFonts w:hint="eastAsia" w:ascii="仿宋_GB2312" w:eastAsia="仿宋_GB2312"/>
                <w:color w:val="000000"/>
              </w:rPr>
              <w:t>0.2</w:t>
            </w:r>
          </w:p>
        </w:tc>
        <w:tc>
          <w:tcPr>
            <w:tcW w:w="456" w:type="pct"/>
            <w:vAlign w:val="center"/>
          </w:tcPr>
          <w:p>
            <w:pPr>
              <w:jc w:val="center"/>
              <w:rPr>
                <w:rFonts w:ascii="仿宋_GB2312" w:eastAsia="仿宋_GB2312"/>
                <w:color w:val="000000"/>
              </w:rPr>
            </w:pPr>
            <w:r>
              <w:rPr>
                <w:rFonts w:hint="eastAsia" w:ascii="仿宋_GB2312" w:eastAsia="仿宋_GB2312"/>
                <w:color w:val="000000"/>
              </w:rPr>
              <w:t>2022</w:t>
            </w:r>
          </w:p>
        </w:tc>
        <w:tc>
          <w:tcPr>
            <w:tcW w:w="456" w:type="pct"/>
            <w:vAlign w:val="center"/>
          </w:tcPr>
          <w:p>
            <w:pPr>
              <w:jc w:val="center"/>
              <w:rPr>
                <w:rFonts w:ascii="仿宋_GB2312" w:eastAsia="仿宋_GB2312"/>
                <w:color w:val="000000"/>
              </w:rPr>
            </w:pPr>
            <w:r>
              <w:rPr>
                <w:rFonts w:hint="eastAsia" w:ascii="仿宋_GB2312" w:eastAsia="仿宋_GB2312"/>
                <w:color w:val="000000"/>
              </w:rPr>
              <w:t>2025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3177" w:type="pct"/>
            <w:gridSpan w:val="5"/>
            <w:vAlign w:val="center"/>
          </w:tcPr>
          <w:p>
            <w:pPr>
              <w:jc w:val="center"/>
              <w:rPr>
                <w:rFonts w:ascii="仿宋_GB2312" w:eastAsia="仿宋_GB2312"/>
                <w:color w:val="000000"/>
              </w:rPr>
            </w:pPr>
            <w:r>
              <w:rPr>
                <w:rFonts w:hint="eastAsia" w:ascii="仿宋_GB2312" w:eastAsia="仿宋_GB2312"/>
                <w:color w:val="000000"/>
              </w:rPr>
              <w:t>小计</w:t>
            </w:r>
          </w:p>
        </w:tc>
        <w:tc>
          <w:tcPr>
            <w:tcW w:w="405" w:type="pct"/>
            <w:vAlign w:val="center"/>
          </w:tcPr>
          <w:p>
            <w:pPr>
              <w:jc w:val="center"/>
              <w:rPr>
                <w:rFonts w:ascii="仿宋_GB2312" w:eastAsia="仿宋_GB2312"/>
                <w:color w:val="000000"/>
              </w:rPr>
            </w:pPr>
            <w:r>
              <w:rPr>
                <w:rFonts w:hint="eastAsia" w:ascii="仿宋_GB2312" w:eastAsia="仿宋_GB2312"/>
                <w:color w:val="000000"/>
              </w:rPr>
              <w:t>0.2</w:t>
            </w:r>
          </w:p>
        </w:tc>
        <w:tc>
          <w:tcPr>
            <w:tcW w:w="506" w:type="pct"/>
            <w:vAlign w:val="center"/>
          </w:tcPr>
          <w:p>
            <w:pPr>
              <w:jc w:val="center"/>
              <w:rPr>
                <w:rFonts w:ascii="仿宋_GB2312" w:eastAsia="仿宋_GB2312"/>
                <w:color w:val="000000"/>
              </w:rPr>
            </w:pPr>
            <w:r>
              <w:rPr>
                <w:rFonts w:hint="eastAsia" w:ascii="仿宋_GB2312" w:eastAsia="仿宋_GB2312"/>
                <w:color w:val="000000"/>
              </w:rPr>
              <w:t>0.2</w:t>
            </w:r>
          </w:p>
        </w:tc>
        <w:tc>
          <w:tcPr>
            <w:tcW w:w="912" w:type="pct"/>
            <w:gridSpan w:val="2"/>
            <w:vAlign w:val="center"/>
          </w:tcPr>
          <w:p>
            <w:pPr>
              <w:jc w:val="center"/>
              <w:rPr>
                <w:rFonts w:ascii="仿宋_GB2312" w:eastAsia="仿宋_GB2312"/>
                <w:color w:val="000000"/>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3177" w:type="pct"/>
            <w:gridSpan w:val="5"/>
            <w:vAlign w:val="center"/>
          </w:tcPr>
          <w:p>
            <w:pPr>
              <w:jc w:val="center"/>
              <w:rPr>
                <w:rFonts w:ascii="仿宋_GB2312" w:eastAsia="仿宋_GB2312"/>
                <w:color w:val="000000"/>
              </w:rPr>
            </w:pPr>
            <w:r>
              <w:rPr>
                <w:rFonts w:hint="eastAsia" w:ascii="仿宋_GB2312" w:eastAsia="仿宋_GB2312"/>
                <w:color w:val="000000"/>
              </w:rPr>
              <w:t>合计</w:t>
            </w:r>
          </w:p>
        </w:tc>
        <w:tc>
          <w:tcPr>
            <w:tcW w:w="405" w:type="pct"/>
            <w:vAlign w:val="center"/>
          </w:tcPr>
          <w:p>
            <w:pPr>
              <w:jc w:val="center"/>
              <w:rPr>
                <w:rFonts w:ascii="仿宋_GB2312" w:eastAsia="仿宋_GB2312"/>
                <w:color w:val="000000"/>
              </w:rPr>
            </w:pPr>
            <w:r>
              <w:rPr>
                <w:rFonts w:hint="eastAsia" w:ascii="仿宋_GB2312" w:eastAsia="仿宋_GB2312"/>
                <w:color w:val="000000"/>
              </w:rPr>
              <w:t>0.4</w:t>
            </w:r>
          </w:p>
        </w:tc>
        <w:tc>
          <w:tcPr>
            <w:tcW w:w="506" w:type="pct"/>
            <w:vAlign w:val="center"/>
          </w:tcPr>
          <w:p>
            <w:pPr>
              <w:jc w:val="center"/>
              <w:rPr>
                <w:rFonts w:ascii="仿宋_GB2312" w:eastAsia="仿宋_GB2312"/>
                <w:color w:val="000000"/>
              </w:rPr>
            </w:pPr>
            <w:r>
              <w:rPr>
                <w:rFonts w:hint="eastAsia" w:ascii="仿宋_GB2312" w:eastAsia="仿宋_GB2312"/>
                <w:color w:val="000000"/>
              </w:rPr>
              <w:t>0.38</w:t>
            </w:r>
          </w:p>
        </w:tc>
        <w:tc>
          <w:tcPr>
            <w:tcW w:w="912" w:type="pct"/>
            <w:gridSpan w:val="2"/>
            <w:vAlign w:val="center"/>
          </w:tcPr>
          <w:p>
            <w:pPr>
              <w:jc w:val="center"/>
              <w:rPr>
                <w:rFonts w:ascii="仿宋_GB2312" w:eastAsia="仿宋_GB2312"/>
                <w:color w:val="000000"/>
              </w:rPr>
            </w:pPr>
          </w:p>
        </w:tc>
      </w:tr>
    </w:tbl>
    <w:p>
      <w:pPr>
        <w:pStyle w:val="2"/>
        <w:spacing w:before="0" w:after="0" w:line="360" w:lineRule="auto"/>
        <w:jc w:val="left"/>
        <w:rPr>
          <w:rFonts w:ascii="黑体" w:hAnsi="黑体" w:eastAsia="黑体"/>
          <w:b w:val="0"/>
          <w:sz w:val="28"/>
          <w:szCs w:val="28"/>
        </w:rPr>
      </w:pPr>
      <w:bookmarkStart w:id="116" w:name="_Toc104537531"/>
      <w:bookmarkStart w:id="117" w:name="_Toc99394943"/>
      <w:r>
        <w:rPr>
          <w:rFonts w:ascii="黑体" w:hAnsi="黑体" w:eastAsia="黑体"/>
          <w:b w:val="0"/>
          <w:sz w:val="28"/>
          <w:szCs w:val="28"/>
        </w:rPr>
        <w:t>附</w:t>
      </w:r>
      <w:r>
        <w:rPr>
          <w:rFonts w:hint="eastAsia" w:ascii="黑体" w:hAnsi="黑体" w:eastAsia="黑体"/>
          <w:b w:val="0"/>
          <w:sz w:val="28"/>
          <w:szCs w:val="28"/>
        </w:rPr>
        <w:t>表9：青阳县县道网规划一览表</w:t>
      </w:r>
      <w:bookmarkEnd w:id="116"/>
      <w:bookmarkEnd w:id="117"/>
    </w:p>
    <w:tbl>
      <w:tblPr>
        <w:tblStyle w:val="24"/>
        <w:tblW w:w="5000" w:type="pct"/>
        <w:tblInd w:w="0" w:type="dxa"/>
        <w:tblLayout w:type="fixed"/>
        <w:tblCellMar>
          <w:top w:w="0" w:type="dxa"/>
          <w:left w:w="108" w:type="dxa"/>
          <w:bottom w:w="0" w:type="dxa"/>
          <w:right w:w="108" w:type="dxa"/>
        </w:tblCellMar>
      </w:tblPr>
      <w:tblGrid>
        <w:gridCol w:w="829"/>
        <w:gridCol w:w="981"/>
        <w:gridCol w:w="1758"/>
        <w:gridCol w:w="1443"/>
        <w:gridCol w:w="2597"/>
        <w:gridCol w:w="865"/>
        <w:gridCol w:w="865"/>
        <w:gridCol w:w="2018"/>
        <w:gridCol w:w="1440"/>
        <w:gridCol w:w="1378"/>
      </w:tblGrid>
      <w:tr>
        <w:tblPrEx>
          <w:tblCellMar>
            <w:top w:w="0" w:type="dxa"/>
            <w:left w:w="108" w:type="dxa"/>
            <w:bottom w:w="0" w:type="dxa"/>
            <w:right w:w="108" w:type="dxa"/>
          </w:tblCellMar>
        </w:tblPrEx>
        <w:trPr>
          <w:cantSplit/>
          <w:trHeight w:val="300" w:hRule="atLeast"/>
          <w:tblHeader/>
        </w:trPr>
        <w:tc>
          <w:tcPr>
            <w:tcW w:w="292"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路线编码</w:t>
            </w:r>
          </w:p>
        </w:tc>
        <w:tc>
          <w:tcPr>
            <w:tcW w:w="346"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路线名称</w:t>
            </w:r>
          </w:p>
        </w:tc>
        <w:tc>
          <w:tcPr>
            <w:tcW w:w="620"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起点</w:t>
            </w:r>
          </w:p>
        </w:tc>
        <w:tc>
          <w:tcPr>
            <w:tcW w:w="509"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终点</w:t>
            </w:r>
          </w:p>
        </w:tc>
        <w:tc>
          <w:tcPr>
            <w:tcW w:w="916"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主要控制点</w:t>
            </w:r>
          </w:p>
        </w:tc>
        <w:tc>
          <w:tcPr>
            <w:tcW w:w="305"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途径县区</w:t>
            </w:r>
          </w:p>
        </w:tc>
        <w:tc>
          <w:tcPr>
            <w:tcW w:w="305"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规划等级</w:t>
            </w:r>
          </w:p>
        </w:tc>
        <w:tc>
          <w:tcPr>
            <w:tcW w:w="712"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路线功能</w:t>
            </w:r>
          </w:p>
        </w:tc>
        <w:tc>
          <w:tcPr>
            <w:tcW w:w="508"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净里程km</w:t>
            </w:r>
          </w:p>
        </w:tc>
        <w:tc>
          <w:tcPr>
            <w:tcW w:w="486"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r>
              <w:rPr>
                <w:rFonts w:ascii="黑体" w:hAnsi="黑体" w:eastAsia="黑体"/>
                <w:color w:val="000000"/>
              </w:rPr>
              <w:t>总里程km</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X201</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竹元路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木镇镇新竹村</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酉华镇乐元村汤家</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木镇镇、酉华镇</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木镇镇、酉华镇纵向联系通道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17.511</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18.054</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X202</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童朱路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新河镇童埠</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朱备镇青峭湾</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新河镇、蓉城镇、朱备镇</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青阳县中部纵向大通道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28.297</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45.39</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X303</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青高路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蓉城镇临城南路</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杜村乡五阳村</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蓉城镇、庙前镇、杜村乡</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庙前镇、杜村乡通往县城的重要通道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26.298</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26.582</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X304</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酉朱路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酉华镇乐园村</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朱备镇江村</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酉华镇、杨田镇、朱备镇</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杨田镇、朱备镇的横向联系通道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19.807</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22.15</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X503</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陵七路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陵阳镇谢村</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七都镇启田村</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陵阳镇、七都镇</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青阳、石台</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连接石台县东部地区与青阳县南部地区的通道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10.536</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11.392</w:t>
            </w:r>
          </w:p>
        </w:tc>
      </w:tr>
      <w:tr>
        <w:tblPrEx>
          <w:tblCellMar>
            <w:top w:w="0" w:type="dxa"/>
            <w:left w:w="108" w:type="dxa"/>
            <w:bottom w:w="0" w:type="dxa"/>
            <w:right w:w="108" w:type="dxa"/>
          </w:tblCellMar>
        </w:tblPrEx>
        <w:trPr>
          <w:cantSplit/>
          <w:trHeight w:val="330"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X509</w:t>
            </w: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杜刘路</w:t>
            </w: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杜村乡</w:t>
            </w: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梅街镇刘街</w:t>
            </w: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杜村乡、梅街镇</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贵池、青阳</w:t>
            </w: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三级</w:t>
            </w: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杜村与刘街联系通道</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8.126</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8.126</w:t>
            </w:r>
          </w:p>
        </w:tc>
      </w:tr>
      <w:tr>
        <w:tblPrEx>
          <w:tblCellMar>
            <w:top w:w="0" w:type="dxa"/>
            <w:left w:w="108" w:type="dxa"/>
            <w:bottom w:w="0" w:type="dxa"/>
            <w:right w:w="108" w:type="dxa"/>
          </w:tblCellMar>
        </w:tblPrEx>
        <w:trPr>
          <w:cantSplit/>
          <w:trHeight w:val="552" w:hRule="atLeast"/>
        </w:trPr>
        <w:tc>
          <w:tcPr>
            <w:tcW w:w="29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34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620"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509"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91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305"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p>
        </w:tc>
        <w:tc>
          <w:tcPr>
            <w:tcW w:w="712"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hAnsi="宋体" w:eastAsia="仿宋_GB2312"/>
                <w:color w:val="000000"/>
              </w:rPr>
              <w:t>里程合计</w:t>
            </w:r>
          </w:p>
        </w:tc>
        <w:tc>
          <w:tcPr>
            <w:tcW w:w="508"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110.575</w:t>
            </w:r>
          </w:p>
        </w:tc>
        <w:tc>
          <w:tcPr>
            <w:tcW w:w="486" w:type="pct"/>
            <w:tcBorders>
              <w:top w:val="nil"/>
              <w:left w:val="nil"/>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131.694</w:t>
            </w:r>
          </w:p>
        </w:tc>
      </w:tr>
    </w:tbl>
    <w:p>
      <w:pPr>
        <w:pStyle w:val="61"/>
        <w:ind w:firstLine="0" w:firstLineChars="0"/>
      </w:pPr>
    </w:p>
    <w:p>
      <w:pPr>
        <w:pStyle w:val="61"/>
        <w:ind w:firstLine="0" w:firstLineChars="0"/>
      </w:pPr>
    </w:p>
    <w:p>
      <w:pPr>
        <w:pStyle w:val="61"/>
        <w:ind w:firstLine="0" w:firstLineChars="0"/>
      </w:pPr>
    </w:p>
    <w:p>
      <w:pPr>
        <w:pStyle w:val="61"/>
        <w:ind w:firstLine="0" w:firstLineChars="0"/>
      </w:pPr>
    </w:p>
    <w:p>
      <w:pPr>
        <w:pStyle w:val="61"/>
        <w:ind w:firstLine="0" w:firstLineChars="0"/>
      </w:pPr>
    </w:p>
    <w:p>
      <w:pPr>
        <w:pStyle w:val="2"/>
        <w:spacing w:before="0" w:after="0" w:line="360" w:lineRule="auto"/>
        <w:jc w:val="left"/>
        <w:rPr>
          <w:rFonts w:ascii="黑体" w:hAnsi="黑体" w:eastAsia="黑体"/>
          <w:b w:val="0"/>
          <w:sz w:val="28"/>
          <w:szCs w:val="28"/>
        </w:rPr>
      </w:pPr>
      <w:bookmarkStart w:id="118" w:name="_Toc104537532"/>
      <w:bookmarkStart w:id="119" w:name="_Toc99394944"/>
      <w:r>
        <w:rPr>
          <w:rFonts w:ascii="黑体" w:hAnsi="黑体" w:eastAsia="黑体"/>
          <w:b w:val="0"/>
          <w:sz w:val="28"/>
          <w:szCs w:val="28"/>
        </w:rPr>
        <w:t>附</w:t>
      </w:r>
      <w:r>
        <w:rPr>
          <w:rFonts w:hint="eastAsia" w:ascii="黑体" w:hAnsi="黑体" w:eastAsia="黑体"/>
          <w:b w:val="0"/>
          <w:sz w:val="28"/>
          <w:szCs w:val="28"/>
        </w:rPr>
        <w:t>表10：危桥改造表</w:t>
      </w:r>
      <w:bookmarkEnd w:id="118"/>
      <w:bookmarkEnd w:id="119"/>
    </w:p>
    <w:tbl>
      <w:tblPr>
        <w:tblStyle w:val="24"/>
        <w:tblW w:w="4988" w:type="pct"/>
        <w:tblInd w:w="0" w:type="dxa"/>
        <w:tblLayout w:type="fixed"/>
        <w:tblCellMar>
          <w:top w:w="0" w:type="dxa"/>
          <w:left w:w="108" w:type="dxa"/>
          <w:bottom w:w="0" w:type="dxa"/>
          <w:right w:w="108" w:type="dxa"/>
        </w:tblCellMar>
      </w:tblPr>
      <w:tblGrid>
        <w:gridCol w:w="684"/>
        <w:gridCol w:w="998"/>
        <w:gridCol w:w="1417"/>
        <w:gridCol w:w="1134"/>
        <w:gridCol w:w="1406"/>
        <w:gridCol w:w="1007"/>
        <w:gridCol w:w="704"/>
        <w:gridCol w:w="699"/>
        <w:gridCol w:w="851"/>
        <w:gridCol w:w="1985"/>
        <w:gridCol w:w="993"/>
        <w:gridCol w:w="566"/>
        <w:gridCol w:w="848"/>
        <w:gridCol w:w="848"/>
      </w:tblGrid>
      <w:tr>
        <w:tblPrEx>
          <w:tblCellMar>
            <w:top w:w="0" w:type="dxa"/>
            <w:left w:w="108" w:type="dxa"/>
            <w:bottom w:w="0" w:type="dxa"/>
            <w:right w:w="108" w:type="dxa"/>
          </w:tblCellMar>
        </w:tblPrEx>
        <w:trPr>
          <w:cantSplit/>
          <w:trHeight w:val="300" w:hRule="atLeast"/>
          <w:tblHeader/>
        </w:trPr>
        <w:tc>
          <w:tcPr>
            <w:tcW w:w="242" w:type="pct"/>
            <w:vMerge w:val="restart"/>
            <w:tcBorders>
              <w:top w:val="single" w:color="auto" w:sz="4" w:space="0"/>
              <w:left w:val="single" w:color="auto" w:sz="4" w:space="0"/>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序号</w:t>
            </w:r>
          </w:p>
        </w:tc>
        <w:tc>
          <w:tcPr>
            <w:tcW w:w="353"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管养单位</w:t>
            </w:r>
          </w:p>
        </w:tc>
        <w:tc>
          <w:tcPr>
            <w:tcW w:w="501"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路线名称</w:t>
            </w:r>
          </w:p>
        </w:tc>
        <w:tc>
          <w:tcPr>
            <w:tcW w:w="401"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桥梁名称</w:t>
            </w:r>
          </w:p>
        </w:tc>
        <w:tc>
          <w:tcPr>
            <w:tcW w:w="497"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桥梁中心桩号</w:t>
            </w:r>
          </w:p>
        </w:tc>
        <w:tc>
          <w:tcPr>
            <w:tcW w:w="356"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桥梁全长</w:t>
            </w:r>
          </w:p>
        </w:tc>
        <w:tc>
          <w:tcPr>
            <w:tcW w:w="249"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桥梁全宽</w:t>
            </w:r>
          </w:p>
        </w:tc>
        <w:tc>
          <w:tcPr>
            <w:tcW w:w="247"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跨径总长</w:t>
            </w:r>
          </w:p>
        </w:tc>
        <w:tc>
          <w:tcPr>
            <w:tcW w:w="301"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等级</w:t>
            </w:r>
          </w:p>
        </w:tc>
        <w:tc>
          <w:tcPr>
            <w:tcW w:w="702" w:type="pct"/>
            <w:vMerge w:val="restart"/>
            <w:tcBorders>
              <w:top w:val="single" w:color="auto" w:sz="4" w:space="0"/>
              <w:left w:val="nil"/>
              <w:right w:val="single" w:color="auto" w:sz="4" w:space="0"/>
            </w:tcBorders>
            <w:shd w:val="clear" w:color="auto" w:fill="auto"/>
            <w:noWrap/>
            <w:vAlign w:val="center"/>
          </w:tcPr>
          <w:p>
            <w:pPr>
              <w:jc w:val="center"/>
              <w:rPr>
                <w:rFonts w:ascii="黑体" w:hAnsi="黑体" w:eastAsia="黑体" w:cs="宋体"/>
                <w:color w:val="000000"/>
              </w:rPr>
            </w:pPr>
            <w:r>
              <w:rPr>
                <w:rFonts w:hint="eastAsia" w:ascii="黑体" w:hAnsi="黑体" w:eastAsia="黑体" w:cs="宋体"/>
                <w:color w:val="000000"/>
              </w:rPr>
              <w:t>病害内容</w:t>
            </w:r>
          </w:p>
        </w:tc>
        <w:tc>
          <w:tcPr>
            <w:tcW w:w="851" w:type="pct"/>
            <w:gridSpan w:val="3"/>
            <w:tcBorders>
              <w:top w:val="single" w:color="auto" w:sz="4" w:space="0"/>
              <w:left w:val="nil"/>
              <w:bottom w:val="single" w:color="auto" w:sz="4" w:space="0"/>
              <w:right w:val="single" w:color="auto" w:sz="4" w:space="0"/>
            </w:tcBorders>
          </w:tcPr>
          <w:p>
            <w:pPr>
              <w:jc w:val="center"/>
              <w:rPr>
                <w:rFonts w:ascii="黑体" w:hAnsi="黑体" w:eastAsia="黑体" w:cs="宋体"/>
                <w:color w:val="000000"/>
              </w:rPr>
            </w:pPr>
            <w:r>
              <w:rPr>
                <w:rFonts w:hint="eastAsia" w:ascii="黑体" w:hAnsi="黑体" w:eastAsia="黑体" w:cs="宋体"/>
                <w:color w:val="000000"/>
              </w:rPr>
              <w:t>新建标准</w:t>
            </w:r>
          </w:p>
        </w:tc>
        <w:tc>
          <w:tcPr>
            <w:tcW w:w="300" w:type="pct"/>
            <w:vMerge w:val="restart"/>
            <w:tcBorders>
              <w:top w:val="single" w:color="auto" w:sz="4" w:space="0"/>
              <w:left w:val="nil"/>
              <w:right w:val="single" w:color="auto" w:sz="4" w:space="0"/>
            </w:tcBorders>
          </w:tcPr>
          <w:p>
            <w:pPr>
              <w:jc w:val="center"/>
              <w:rPr>
                <w:rFonts w:ascii="黑体" w:hAnsi="黑体" w:eastAsia="黑体" w:cs="宋体"/>
                <w:color w:val="000000"/>
              </w:rPr>
            </w:pPr>
            <w:r>
              <w:rPr>
                <w:rFonts w:hint="eastAsia" w:ascii="黑体" w:hAnsi="黑体" w:eastAsia="黑体" w:cs="宋体"/>
                <w:color w:val="000000"/>
              </w:rPr>
              <w:t>实施计划</w:t>
            </w:r>
          </w:p>
        </w:tc>
      </w:tr>
      <w:tr>
        <w:tblPrEx>
          <w:tblCellMar>
            <w:top w:w="0" w:type="dxa"/>
            <w:left w:w="108" w:type="dxa"/>
            <w:bottom w:w="0" w:type="dxa"/>
            <w:right w:w="108" w:type="dxa"/>
          </w:tblCellMar>
        </w:tblPrEx>
        <w:trPr>
          <w:cantSplit/>
          <w:trHeight w:val="124" w:hRule="atLeast"/>
          <w:tblHeader/>
        </w:trPr>
        <w:tc>
          <w:tcPr>
            <w:tcW w:w="242" w:type="pct"/>
            <w:vMerge w:val="continue"/>
            <w:tcBorders>
              <w:left w:val="single" w:color="auto" w:sz="4" w:space="0"/>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353"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501"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401"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s="宋体"/>
                <w:color w:val="000000"/>
              </w:rPr>
            </w:pPr>
          </w:p>
        </w:tc>
        <w:tc>
          <w:tcPr>
            <w:tcW w:w="497"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356"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249"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247"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301"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702" w:type="pct"/>
            <w:vMerge w:val="continue"/>
            <w:tcBorders>
              <w:left w:val="nil"/>
              <w:bottom w:val="single" w:color="auto" w:sz="4" w:space="0"/>
              <w:right w:val="single" w:color="auto" w:sz="4" w:space="0"/>
            </w:tcBorders>
            <w:shd w:val="clear" w:color="auto" w:fill="auto"/>
            <w:noWrap/>
            <w:vAlign w:val="center"/>
          </w:tcPr>
          <w:p>
            <w:pPr>
              <w:jc w:val="center"/>
              <w:rPr>
                <w:rFonts w:ascii="黑体" w:hAnsi="黑体" w:eastAsia="黑体"/>
                <w:color w:val="000000"/>
              </w:rPr>
            </w:pPr>
          </w:p>
        </w:tc>
        <w:tc>
          <w:tcPr>
            <w:tcW w:w="351" w:type="pct"/>
            <w:tcBorders>
              <w:top w:val="single" w:color="auto" w:sz="4" w:space="0"/>
              <w:left w:val="nil"/>
              <w:bottom w:val="single" w:color="auto" w:sz="4" w:space="0"/>
              <w:right w:val="single" w:color="auto" w:sz="4" w:space="0"/>
            </w:tcBorders>
          </w:tcPr>
          <w:p>
            <w:pPr>
              <w:jc w:val="center"/>
              <w:rPr>
                <w:rFonts w:ascii="黑体" w:hAnsi="黑体" w:eastAsia="黑体" w:cs="宋体"/>
                <w:color w:val="000000"/>
              </w:rPr>
            </w:pPr>
            <w:r>
              <w:rPr>
                <w:rFonts w:hint="eastAsia" w:ascii="黑体" w:hAnsi="黑体" w:eastAsia="黑体" w:cs="宋体"/>
                <w:color w:val="000000"/>
              </w:rPr>
              <w:t>长</w:t>
            </w:r>
          </w:p>
        </w:tc>
        <w:tc>
          <w:tcPr>
            <w:tcW w:w="200" w:type="pct"/>
            <w:tcBorders>
              <w:top w:val="single" w:color="auto" w:sz="4" w:space="0"/>
              <w:left w:val="nil"/>
              <w:bottom w:val="single" w:color="auto" w:sz="4" w:space="0"/>
              <w:right w:val="single" w:color="auto" w:sz="4" w:space="0"/>
            </w:tcBorders>
          </w:tcPr>
          <w:p>
            <w:pPr>
              <w:jc w:val="center"/>
              <w:rPr>
                <w:rFonts w:ascii="黑体" w:hAnsi="黑体" w:eastAsia="黑体" w:cs="宋体"/>
                <w:color w:val="000000"/>
              </w:rPr>
            </w:pPr>
            <w:r>
              <w:rPr>
                <w:rFonts w:hint="eastAsia" w:ascii="黑体" w:hAnsi="黑体" w:eastAsia="黑体" w:cs="宋体"/>
                <w:color w:val="000000"/>
              </w:rPr>
              <w:t>宽</w:t>
            </w:r>
          </w:p>
        </w:tc>
        <w:tc>
          <w:tcPr>
            <w:tcW w:w="300" w:type="pct"/>
            <w:tcBorders>
              <w:top w:val="single" w:color="auto" w:sz="4" w:space="0"/>
              <w:left w:val="nil"/>
              <w:bottom w:val="single" w:color="auto" w:sz="4" w:space="0"/>
              <w:right w:val="single" w:color="auto" w:sz="4" w:space="0"/>
            </w:tcBorders>
          </w:tcPr>
          <w:p>
            <w:pPr>
              <w:jc w:val="center"/>
              <w:rPr>
                <w:rFonts w:ascii="黑体" w:hAnsi="黑体" w:eastAsia="黑体" w:cs="宋体"/>
                <w:color w:val="000000"/>
              </w:rPr>
            </w:pPr>
            <w:r>
              <w:rPr>
                <w:rFonts w:hint="eastAsia" w:ascii="黑体" w:hAnsi="黑体" w:eastAsia="黑体" w:cs="宋体"/>
                <w:color w:val="000000"/>
              </w:rPr>
              <w:t>跨径</w:t>
            </w:r>
          </w:p>
        </w:tc>
        <w:tc>
          <w:tcPr>
            <w:tcW w:w="300" w:type="pct"/>
            <w:vMerge w:val="continue"/>
            <w:tcBorders>
              <w:left w:val="nil"/>
              <w:bottom w:val="single" w:color="auto" w:sz="4" w:space="0"/>
              <w:right w:val="single" w:color="auto" w:sz="4" w:space="0"/>
            </w:tcBorders>
          </w:tcPr>
          <w:p>
            <w:pPr>
              <w:jc w:val="center"/>
              <w:rPr>
                <w:rFonts w:ascii="黑体" w:hAnsi="黑体" w:eastAsia="黑体"/>
                <w:color w:val="000000"/>
              </w:rPr>
            </w:pPr>
          </w:p>
        </w:tc>
      </w:tr>
      <w:tr>
        <w:tblPrEx>
          <w:tblCellMar>
            <w:top w:w="0" w:type="dxa"/>
            <w:left w:w="108" w:type="dxa"/>
            <w:bottom w:w="0" w:type="dxa"/>
            <w:right w:w="108" w:type="dxa"/>
          </w:tblCellMar>
        </w:tblPrEx>
        <w:trPr>
          <w:cantSplit/>
          <w:trHeight w:val="937"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eastAsia="仿宋_GB2312"/>
                <w:color w:val="000000"/>
              </w:rPr>
            </w:pPr>
            <w:r>
              <w:rPr>
                <w:rFonts w:hint="eastAsia" w:ascii="仿宋_GB2312" w:eastAsia="仿宋_GB2312"/>
                <w:color w:val="000000"/>
              </w:rPr>
              <w:t>1</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酉华镇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敬老院路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阳桥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K0+143</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26.2</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4.33</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24</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墩桩基础损毁</w:t>
            </w:r>
          </w:p>
        </w:tc>
        <w:tc>
          <w:tcPr>
            <w:tcW w:w="351"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47.04</w:t>
            </w:r>
          </w:p>
        </w:tc>
        <w:tc>
          <w:tcPr>
            <w:tcW w:w="2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9</w:t>
            </w:r>
          </w:p>
        </w:tc>
        <w:tc>
          <w:tcPr>
            <w:tcW w:w="3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2*20</w:t>
            </w:r>
          </w:p>
        </w:tc>
        <w:tc>
          <w:tcPr>
            <w:tcW w:w="3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 xml:space="preserve">2021 </w:t>
            </w:r>
          </w:p>
        </w:tc>
      </w:tr>
      <w:tr>
        <w:tblPrEx>
          <w:tblCellMar>
            <w:top w:w="0" w:type="dxa"/>
            <w:left w:w="108" w:type="dxa"/>
            <w:bottom w:w="0" w:type="dxa"/>
            <w:right w:w="108" w:type="dxa"/>
          </w:tblCellMar>
        </w:tblPrEx>
        <w:trPr>
          <w:cantSplit/>
          <w:trHeight w:val="99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酉华镇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贯冲组二路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邱家桥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K0+076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12.94</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10</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墩桩基础损毁</w:t>
            </w:r>
          </w:p>
        </w:tc>
        <w:tc>
          <w:tcPr>
            <w:tcW w:w="351"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105.04</w:t>
            </w:r>
          </w:p>
        </w:tc>
        <w:tc>
          <w:tcPr>
            <w:tcW w:w="2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9</w:t>
            </w:r>
          </w:p>
        </w:tc>
        <w:tc>
          <w:tcPr>
            <w:tcW w:w="3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5*20</w:t>
            </w:r>
          </w:p>
        </w:tc>
        <w:tc>
          <w:tcPr>
            <w:tcW w:w="300" w:type="pct"/>
            <w:tcBorders>
              <w:top w:val="nil"/>
              <w:left w:val="nil"/>
              <w:bottom w:val="single" w:color="auto" w:sz="4" w:space="0"/>
              <w:right w:val="single" w:color="auto" w:sz="4" w:space="0"/>
            </w:tcBorders>
            <w:vAlign w:val="center"/>
          </w:tcPr>
          <w:p>
            <w:pPr>
              <w:jc w:val="center"/>
              <w:rPr>
                <w:rFonts w:ascii="仿宋_GB2312" w:hAnsi="宋体" w:eastAsia="仿宋_GB2312" w:cs="宋体"/>
              </w:rPr>
            </w:pPr>
            <w:r>
              <w:rPr>
                <w:rFonts w:hint="eastAsia" w:ascii="仿宋_GB2312" w:hAnsi="宋体" w:eastAsia="仿宋_GB2312" w:cs="宋体"/>
              </w:rPr>
              <w:t xml:space="preserve">2021 </w:t>
            </w:r>
          </w:p>
        </w:tc>
      </w:tr>
      <w:tr>
        <w:tblPrEx>
          <w:tblCellMar>
            <w:top w:w="0" w:type="dxa"/>
            <w:left w:w="108" w:type="dxa"/>
            <w:bottom w:w="0" w:type="dxa"/>
            <w:right w:w="108" w:type="dxa"/>
          </w:tblCellMar>
        </w:tblPrEx>
        <w:trPr>
          <w:cantSplit/>
          <w:trHeight w:val="964"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陵阳镇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阴边路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阴边桥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K0+025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30</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基础、桥面损毁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21.35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2021 </w:t>
            </w:r>
          </w:p>
        </w:tc>
      </w:tr>
      <w:tr>
        <w:tblPrEx>
          <w:tblCellMar>
            <w:top w:w="0" w:type="dxa"/>
            <w:left w:w="108" w:type="dxa"/>
            <w:bottom w:w="0" w:type="dxa"/>
            <w:right w:w="108" w:type="dxa"/>
          </w:tblCellMar>
        </w:tblPrEx>
        <w:trPr>
          <w:cantSplit/>
          <w:trHeight w:val="1134"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陵阳镇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东黄路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熊家桥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K0+937.5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14</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基础、桥面损毁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18</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6.8</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2021 </w:t>
            </w:r>
          </w:p>
        </w:tc>
      </w:tr>
      <w:tr>
        <w:tblPrEx>
          <w:tblCellMar>
            <w:top w:w="0" w:type="dxa"/>
            <w:left w:w="108" w:type="dxa"/>
            <w:bottom w:w="0" w:type="dxa"/>
            <w:right w:w="108" w:type="dxa"/>
          </w:tblCellMar>
        </w:tblPrEx>
        <w:trPr>
          <w:cantSplit/>
          <w:trHeight w:val="980"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陵阳镇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永安路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永安桥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K3+395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36</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31</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基础，桥面损毁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45.04</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8</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2*20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2021 </w:t>
            </w:r>
          </w:p>
        </w:tc>
      </w:tr>
      <w:tr>
        <w:tblPrEx>
          <w:tblCellMar>
            <w:top w:w="0" w:type="dxa"/>
            <w:left w:w="108" w:type="dxa"/>
            <w:bottom w:w="0" w:type="dxa"/>
            <w:right w:w="108" w:type="dxa"/>
          </w:tblCellMar>
        </w:tblPrEx>
        <w:trPr>
          <w:cantSplit/>
          <w:trHeight w:val="1108"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乔木乡</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金星路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金星桥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0.086</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24</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基础冲刷严重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2021</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7</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朱备镇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骆村路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骆村桥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K000+020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36.5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35</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桥墩（桥台和基础）出现严重滑动，下沉、位移和倾斜。</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42</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12</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3*13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2021</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50"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杜村乡</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双虹路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双虹桥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0.3</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18</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13</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拱圈断裂</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18</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2021</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9</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木镇镇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双桥路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双桥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0.071</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30</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1.6</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30</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桥面太窄，机动车无法通行　</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7.6</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2*16</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2021</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54"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10</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酉华镇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宋冲路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平元桥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K0+144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31</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5.2</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25</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45.04</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9</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2*20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2022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11</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酉华镇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贯冲组一路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王狮铺桥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K0+054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5.27</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拱圈脱落、桥台松散</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65.04</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9</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3*20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2022 </w:t>
            </w:r>
          </w:p>
        </w:tc>
      </w:tr>
      <w:tr>
        <w:tblPrEx>
          <w:tblCellMar>
            <w:top w:w="0" w:type="dxa"/>
            <w:left w:w="108" w:type="dxa"/>
            <w:bottom w:w="0" w:type="dxa"/>
            <w:right w:w="108" w:type="dxa"/>
          </w:tblCellMar>
        </w:tblPrEx>
        <w:trPr>
          <w:cantSplit/>
          <w:trHeight w:val="1013"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12</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陵阳镇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弓官路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梅村桥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K0+100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14</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基础、桥面损毁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18</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xml:space="preserve">2022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13</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酉华镇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敬老院路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敬老院桥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K0+059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30</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3*7</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墩桩基础损毁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20.04</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1*16</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2022</w:t>
            </w:r>
          </w:p>
        </w:tc>
      </w:tr>
      <w:tr>
        <w:tblPrEx>
          <w:tblCellMar>
            <w:top w:w="0" w:type="dxa"/>
            <w:left w:w="108" w:type="dxa"/>
            <w:bottom w:w="0" w:type="dxa"/>
            <w:right w:w="108" w:type="dxa"/>
          </w:tblCellMar>
        </w:tblPrEx>
        <w:trPr>
          <w:cantSplit/>
          <w:trHeight w:val="946"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14</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蓉城镇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姚金路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油坊桥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4.667</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18</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11.3</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基础冲刷严重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1*20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2022</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15</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杨田镇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苗圃路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苗圃桥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0.147</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28</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年久失修，无支座，无伸缩缝装置　</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8.5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2*20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2022</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16</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永西路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东边桥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K000+135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17</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2020年大水漫桥，居民不能出行</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1*17</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2022</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17</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木镇镇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双桥路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碾苏桥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K000+035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7</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2.2</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桥面太窄，机动车无法通行　</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1*7</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2022</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18</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杨田镇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黄泥路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黄泥河桥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K0+100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9</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基础，桥面损毁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13</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8.5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1*13　</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2023</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19</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柯冲路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东边桥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k000+480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7.5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3.3</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年久失修，拱圈受损严重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2023</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1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乔木乡</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黄山路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东湖桥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0.137</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32</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基础冲刷严重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26</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2023</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21</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喜冲路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狮山大桥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K000+035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15.5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3.1</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12.5</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基础遭遇冲刷，现有桥梁宽度不足</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2*16</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2023</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22</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毛元路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毛元桥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K000+170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9</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4.5</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拱桥中间部分重荷载破坏</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74"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23</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乔木乡</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乔陈路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凌塘桥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0.053</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18</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基础冲刷严重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89"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24</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蓉城镇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姚金路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分桥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2.368</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16</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4.3</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12</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三类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基础冲刷严重</w:t>
            </w:r>
          </w:p>
        </w:tc>
        <w:tc>
          <w:tcPr>
            <w:tcW w:w="851" w:type="pct"/>
            <w:gridSpan w:val="3"/>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原桥维修</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25</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黄荆桥路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黄荆桥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K000+285</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10.5</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年久失修，拱圈受损严重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10.5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1*6</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26</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李家二路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李家桥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K000+320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9.7</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四类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基础遭遇冲刷严重</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12</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1*9</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27</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木镇镇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南埂路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南埂桥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0.041</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13</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4.3</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13</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年久失修，拱圈有裂缝　</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15</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1*11.5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2024</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28</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茅屋路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毛屋桥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K000+210</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10</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4</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拱桥中间部分重荷载破坏</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10</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w:t>
            </w:r>
            <w:r>
              <w:rPr>
                <w:rFonts w:hint="eastAsia" w:ascii="仿宋" w:hAnsi="仿宋" w:eastAsia="仿宋" w:cs="宋体"/>
              </w:rPr>
              <w:t>*</w:t>
            </w:r>
            <w:r>
              <w:rPr>
                <w:rFonts w:hint="eastAsia" w:ascii="仿宋_GB2312" w:hAnsi="宋体" w:eastAsia="仿宋_GB2312" w:cs="宋体"/>
              </w:rPr>
              <w:t>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2025</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974"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29</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新河镇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陀童路</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丰收桥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K3+235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8</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3.5</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6</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年久失修</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16</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7.5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1*10</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2025</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30</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丁桥镇</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狮山支路　</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观音洞桥</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K000+018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18</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15</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五类</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2020年遭遇水毁</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18</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3</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1*15</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2025</w:t>
            </w:r>
            <w:r>
              <w:rPr>
                <w:rFonts w:ascii="仿宋_GB2312" w:hAnsi="宋体" w:eastAsia="仿宋_GB2312" w:cs="宋体"/>
              </w:rPr>
              <w:t xml:space="preserve"> </w:t>
            </w:r>
          </w:p>
        </w:tc>
      </w:tr>
      <w:tr>
        <w:tblPrEx>
          <w:tblCellMar>
            <w:top w:w="0" w:type="dxa"/>
            <w:left w:w="108" w:type="dxa"/>
            <w:bottom w:w="0" w:type="dxa"/>
            <w:right w:w="108" w:type="dxa"/>
          </w:tblCellMar>
        </w:tblPrEx>
        <w:trPr>
          <w:cantSplit/>
          <w:trHeight w:val="552" w:hRule="atLeast"/>
        </w:trPr>
        <w:tc>
          <w:tcPr>
            <w:tcW w:w="242" w:type="pct"/>
            <w:tcBorders>
              <w:top w:val="nil"/>
              <w:left w:val="single" w:color="auto" w:sz="4" w:space="0"/>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353"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合计</w:t>
            </w:r>
          </w:p>
        </w:tc>
        <w:tc>
          <w:tcPr>
            <w:tcW w:w="5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4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49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356"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589.84</w:t>
            </w:r>
          </w:p>
        </w:tc>
        <w:tc>
          <w:tcPr>
            <w:tcW w:w="249"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247"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301"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702" w:type="pct"/>
            <w:tcBorders>
              <w:top w:val="nil"/>
              <w:left w:val="nil"/>
              <w:bottom w:val="single" w:color="auto" w:sz="4" w:space="0"/>
              <w:right w:val="single" w:color="auto" w:sz="4" w:space="0"/>
            </w:tcBorders>
            <w:shd w:val="clear" w:color="auto" w:fill="auto"/>
            <w:noWrap/>
            <w:vAlign w:val="center"/>
          </w:tcPr>
          <w:p>
            <w:pPr>
              <w:jc w:val="center"/>
              <w:rPr>
                <w:rFonts w:ascii="仿宋_GB2312" w:hAnsi="宋体" w:eastAsia="仿宋_GB2312" w:cs="宋体"/>
              </w:rPr>
            </w:pPr>
            <w:r>
              <w:rPr>
                <w:rFonts w:hint="eastAsia" w:ascii="仿宋_GB2312" w:hAnsi="宋体" w:eastAsia="仿宋_GB2312" w:cs="宋体"/>
              </w:rPr>
              <w:t>　</w:t>
            </w:r>
          </w:p>
        </w:tc>
        <w:tc>
          <w:tcPr>
            <w:tcW w:w="351"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w:t>
            </w:r>
          </w:p>
        </w:tc>
        <w:tc>
          <w:tcPr>
            <w:tcW w:w="2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w:t>
            </w:r>
          </w:p>
        </w:tc>
        <w:tc>
          <w:tcPr>
            <w:tcW w:w="300" w:type="pct"/>
            <w:tcBorders>
              <w:top w:val="nil"/>
              <w:left w:val="nil"/>
              <w:bottom w:val="single" w:color="auto" w:sz="4" w:space="0"/>
              <w:right w:val="single" w:color="auto" w:sz="4" w:space="0"/>
            </w:tcBorders>
            <w:shd w:val="clear" w:color="auto" w:fill="auto"/>
            <w:vAlign w:val="center"/>
          </w:tcPr>
          <w:p>
            <w:pPr>
              <w:jc w:val="center"/>
              <w:rPr>
                <w:rFonts w:ascii="仿宋_GB2312" w:hAnsi="宋体" w:eastAsia="仿宋_GB2312" w:cs="宋体"/>
              </w:rPr>
            </w:pPr>
            <w:r>
              <w:rPr>
                <w:rFonts w:hint="eastAsia" w:ascii="仿宋_GB2312" w:hAnsi="宋体" w:eastAsia="仿宋_GB2312" w:cs="宋体"/>
              </w:rPr>
              <w:t>　</w:t>
            </w:r>
          </w:p>
        </w:tc>
      </w:tr>
    </w:tbl>
    <w:p>
      <w:pPr>
        <w:rPr>
          <w:sz w:val="28"/>
        </w:rPr>
      </w:pPr>
    </w:p>
    <w:p>
      <w:pPr>
        <w:rPr>
          <w:sz w:val="28"/>
        </w:rPr>
      </w:pPr>
    </w:p>
    <w:p/>
    <w:p/>
    <w:p/>
    <w:p/>
    <w:p>
      <w:pPr>
        <w:pStyle w:val="61"/>
        <w:ind w:firstLine="0" w:firstLineChars="0"/>
        <w:sectPr>
          <w:pgSz w:w="16838" w:h="11906" w:orient="landscape"/>
          <w:pgMar w:top="1797" w:right="1440" w:bottom="1797" w:left="1440" w:header="851" w:footer="992" w:gutter="0"/>
          <w:cols w:space="425" w:num="1"/>
          <w:docGrid w:type="lines" w:linePitch="326" w:charSpace="0"/>
        </w:sectPr>
      </w:pPr>
    </w:p>
    <w:p>
      <w:pPr>
        <w:pStyle w:val="2"/>
        <w:spacing w:before="0" w:after="0" w:line="240" w:lineRule="auto"/>
        <w:jc w:val="left"/>
        <w:rPr>
          <w:rFonts w:ascii="黑体" w:hAnsi="黑体" w:eastAsia="黑体"/>
          <w:sz w:val="24"/>
          <w:szCs w:val="24"/>
        </w:rPr>
      </w:pPr>
      <w:bookmarkStart w:id="120" w:name="_Toc95924843"/>
      <w:bookmarkStart w:id="121" w:name="_Toc104537533"/>
      <w:r>
        <w:rPr>
          <w:rFonts w:hint="eastAsia" w:ascii="黑体" w:hAnsi="黑体" w:eastAsia="黑体"/>
          <w:sz w:val="24"/>
          <w:szCs w:val="24"/>
        </w:rPr>
        <w:t>附图一：</w:t>
      </w:r>
      <w:bookmarkEnd w:id="120"/>
      <w:bookmarkEnd w:id="121"/>
    </w:p>
    <w:p>
      <w:pPr>
        <w:sectPr>
          <w:pgSz w:w="23811" w:h="16838" w:orient="landscape"/>
          <w:pgMar w:top="238" w:right="851" w:bottom="244" w:left="851" w:header="851" w:footer="992" w:gutter="0"/>
          <w:cols w:space="425" w:num="1"/>
          <w:docGrid w:type="lines" w:linePitch="326" w:charSpace="0"/>
        </w:sectPr>
      </w:pPr>
      <w:r>
        <w:drawing>
          <wp:inline distT="0" distB="0" distL="0" distR="0">
            <wp:extent cx="14174470" cy="8718550"/>
            <wp:effectExtent l="19050" t="0" r="0" b="0"/>
            <wp:docPr id="5" name="图片 3" descr="C:\Users\Administrator\Desktop\青阳规划外包图.png\青阳规划外包图-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Users\Administrator\Desktop\青阳规划外包图.png\青阳规划外包图-001.png"/>
                    <pic:cNvPicPr>
                      <a:picLocks noChangeAspect="1" noChangeArrowheads="1"/>
                    </pic:cNvPicPr>
                  </pic:nvPicPr>
                  <pic:blipFill>
                    <a:blip r:embed="rId13"/>
                    <a:stretch>
                      <a:fillRect/>
                    </a:stretch>
                  </pic:blipFill>
                  <pic:spPr>
                    <a:xfrm>
                      <a:off x="0" y="0"/>
                      <a:ext cx="14176355" cy="8719644"/>
                    </a:xfrm>
                    <a:prstGeom prst="rect">
                      <a:avLst/>
                    </a:prstGeom>
                    <a:noFill/>
                    <a:ln w="9525">
                      <a:noFill/>
                      <a:miter lim="800000"/>
                      <a:headEnd/>
                      <a:tailEnd/>
                    </a:ln>
                  </pic:spPr>
                </pic:pic>
              </a:graphicData>
            </a:graphic>
          </wp:inline>
        </w:drawing>
      </w:r>
    </w:p>
    <w:p>
      <w:pPr>
        <w:pStyle w:val="2"/>
        <w:spacing w:before="0" w:after="0" w:line="240" w:lineRule="auto"/>
        <w:jc w:val="left"/>
        <w:rPr>
          <w:rFonts w:ascii="黑体" w:hAnsi="黑体" w:eastAsia="黑体"/>
          <w:sz w:val="24"/>
          <w:szCs w:val="24"/>
        </w:rPr>
      </w:pPr>
      <w:bookmarkStart w:id="122" w:name="_Toc104537534"/>
      <w:bookmarkStart w:id="123" w:name="_Toc95924844"/>
      <w:r>
        <w:rPr>
          <w:rFonts w:hint="eastAsia" w:ascii="黑体" w:hAnsi="黑体" w:eastAsia="黑体"/>
          <w:sz w:val="24"/>
          <w:szCs w:val="24"/>
        </w:rPr>
        <w:t>附图二：</w:t>
      </w:r>
      <w:bookmarkEnd w:id="122"/>
      <w:bookmarkEnd w:id="123"/>
    </w:p>
    <w:p>
      <w:pPr>
        <w:jc w:val="center"/>
      </w:pPr>
      <w:r>
        <w:drawing>
          <wp:inline distT="0" distB="0" distL="0" distR="0">
            <wp:extent cx="14171930" cy="8795385"/>
            <wp:effectExtent l="19050" t="0" r="1237" b="0"/>
            <wp:docPr id="6" name="图片 4" descr="C:\Users\Administrator\Desktop\青阳规划外包图.png\青阳规划外包图-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C:\Users\Administrator\Desktop\青阳规划外包图.png\青阳规划外包图-002.png"/>
                    <pic:cNvPicPr>
                      <a:picLocks noChangeAspect="1" noChangeArrowheads="1"/>
                    </pic:cNvPicPr>
                  </pic:nvPicPr>
                  <pic:blipFill>
                    <a:blip r:embed="rId14"/>
                    <a:stretch>
                      <a:fillRect/>
                    </a:stretch>
                  </pic:blipFill>
                  <pic:spPr>
                    <a:xfrm>
                      <a:off x="0" y="0"/>
                      <a:ext cx="14177289" cy="8799231"/>
                    </a:xfrm>
                    <a:prstGeom prst="rect">
                      <a:avLst/>
                    </a:prstGeom>
                    <a:noFill/>
                    <a:ln w="9525">
                      <a:noFill/>
                      <a:miter lim="800000"/>
                      <a:headEnd/>
                      <a:tailEnd/>
                    </a:ln>
                  </pic:spPr>
                </pic:pic>
              </a:graphicData>
            </a:graphic>
          </wp:inline>
        </w:drawing>
      </w:r>
    </w:p>
    <w:p>
      <w:pPr>
        <w:jc w:val="center"/>
        <w:sectPr>
          <w:pgSz w:w="23811" w:h="16838" w:orient="landscape"/>
          <w:pgMar w:top="238" w:right="851" w:bottom="244" w:left="851" w:header="851" w:footer="992" w:gutter="0"/>
          <w:cols w:space="425" w:num="1"/>
          <w:docGrid w:type="lines" w:linePitch="326" w:charSpace="0"/>
        </w:sectPr>
      </w:pPr>
    </w:p>
    <w:p>
      <w:pPr>
        <w:pStyle w:val="2"/>
        <w:spacing w:before="0" w:after="0" w:line="240" w:lineRule="auto"/>
        <w:jc w:val="left"/>
        <w:rPr>
          <w:rFonts w:ascii="仿宋_GB2312" w:hAnsi="仿宋" w:eastAsia="仿宋_GB2312"/>
          <w:sz w:val="24"/>
          <w:szCs w:val="24"/>
        </w:rPr>
      </w:pPr>
      <w:bookmarkStart w:id="124" w:name="_Toc104537535"/>
      <w:bookmarkStart w:id="125" w:name="_Toc95924845"/>
      <w:r>
        <w:rPr>
          <w:rFonts w:hint="eastAsia" w:ascii="黑体" w:hAnsi="黑体" w:eastAsia="黑体"/>
          <w:sz w:val="24"/>
          <w:szCs w:val="24"/>
        </w:rPr>
        <w:t>附图三：</w:t>
      </w:r>
      <w:bookmarkEnd w:id="124"/>
      <w:bookmarkEnd w:id="125"/>
    </w:p>
    <w:p>
      <w:pPr>
        <w:jc w:val="center"/>
      </w:pPr>
      <w:r>
        <w:drawing>
          <wp:inline distT="0" distB="0" distL="0" distR="0">
            <wp:extent cx="14153515" cy="8837295"/>
            <wp:effectExtent l="19050" t="0" r="635" b="0"/>
            <wp:docPr id="8" name="图片 6" descr="C:\Users\Administrator\Desktop\青阳规划外包图.png\青阳规划外包图-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C:\Users\Administrator\Desktop\青阳规划外包图.png\青阳规划外包图-003.png"/>
                    <pic:cNvPicPr>
                      <a:picLocks noChangeAspect="1" noChangeArrowheads="1"/>
                    </pic:cNvPicPr>
                  </pic:nvPicPr>
                  <pic:blipFill>
                    <a:blip r:embed="rId15"/>
                    <a:stretch>
                      <a:fillRect/>
                    </a:stretch>
                  </pic:blipFill>
                  <pic:spPr>
                    <a:xfrm>
                      <a:off x="0" y="0"/>
                      <a:ext cx="14168232" cy="8847117"/>
                    </a:xfrm>
                    <a:prstGeom prst="rect">
                      <a:avLst/>
                    </a:prstGeom>
                    <a:noFill/>
                    <a:ln w="9525">
                      <a:noFill/>
                      <a:miter lim="800000"/>
                      <a:headEnd/>
                      <a:tailEnd/>
                    </a:ln>
                  </pic:spPr>
                </pic:pic>
              </a:graphicData>
            </a:graphic>
          </wp:inline>
        </w:drawing>
      </w:r>
    </w:p>
    <w:p>
      <w:pPr>
        <w:jc w:val="center"/>
        <w:sectPr>
          <w:pgSz w:w="23811" w:h="16838" w:orient="landscape"/>
          <w:pgMar w:top="238" w:right="851" w:bottom="244" w:left="851" w:header="851" w:footer="992" w:gutter="0"/>
          <w:cols w:space="425" w:num="1"/>
          <w:docGrid w:type="lines" w:linePitch="326" w:charSpace="0"/>
        </w:sectPr>
      </w:pPr>
    </w:p>
    <w:p>
      <w:pPr>
        <w:pStyle w:val="2"/>
        <w:spacing w:before="0" w:after="0" w:line="240" w:lineRule="auto"/>
        <w:jc w:val="left"/>
        <w:rPr>
          <w:rFonts w:ascii="黑体" w:hAnsi="黑体" w:eastAsia="黑体"/>
          <w:sz w:val="24"/>
          <w:szCs w:val="24"/>
        </w:rPr>
      </w:pPr>
      <w:bookmarkStart w:id="126" w:name="_Toc104537536"/>
      <w:bookmarkStart w:id="127" w:name="_Toc95924846"/>
      <w:r>
        <w:rPr>
          <w:rFonts w:hint="eastAsia" w:ascii="黑体" w:hAnsi="黑体" w:eastAsia="黑体"/>
          <w:sz w:val="24"/>
          <w:szCs w:val="24"/>
        </w:rPr>
        <w:t>附图四：</w:t>
      </w:r>
      <w:bookmarkEnd w:id="126"/>
      <w:bookmarkEnd w:id="127"/>
    </w:p>
    <w:p/>
    <w:p>
      <w:pPr>
        <w:jc w:val="center"/>
        <w:sectPr>
          <w:pgSz w:w="23811" w:h="16838" w:orient="landscape"/>
          <w:pgMar w:top="238" w:right="851" w:bottom="244" w:left="851" w:header="851" w:footer="992" w:gutter="0"/>
          <w:cols w:space="425" w:num="1"/>
          <w:docGrid w:type="lines" w:linePitch="326" w:charSpace="0"/>
        </w:sectPr>
      </w:pPr>
      <w:r>
        <w:drawing>
          <wp:inline distT="0" distB="0" distL="0" distR="0">
            <wp:extent cx="14238605" cy="8656320"/>
            <wp:effectExtent l="19050" t="0" r="0" b="0"/>
            <wp:docPr id="7" name="图片 6" descr="港航合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港航合并.png"/>
                    <pic:cNvPicPr>
                      <a:picLocks noChangeAspect="1"/>
                    </pic:cNvPicPr>
                  </pic:nvPicPr>
                  <pic:blipFill>
                    <a:blip r:embed="rId16"/>
                    <a:stretch>
                      <a:fillRect/>
                    </a:stretch>
                  </pic:blipFill>
                  <pic:spPr>
                    <a:xfrm>
                      <a:off x="0" y="0"/>
                      <a:ext cx="14262805" cy="8671332"/>
                    </a:xfrm>
                    <a:prstGeom prst="rect">
                      <a:avLst/>
                    </a:prstGeom>
                  </pic:spPr>
                </pic:pic>
              </a:graphicData>
            </a:graphic>
          </wp:inline>
        </w:drawing>
      </w:r>
    </w:p>
    <w:p>
      <w:pPr>
        <w:pStyle w:val="2"/>
        <w:spacing w:before="0" w:after="0" w:line="240" w:lineRule="auto"/>
        <w:jc w:val="left"/>
        <w:rPr>
          <w:rFonts w:ascii="黑体" w:hAnsi="黑体" w:eastAsia="黑体"/>
          <w:sz w:val="24"/>
          <w:szCs w:val="24"/>
        </w:rPr>
      </w:pPr>
      <w:bookmarkStart w:id="128" w:name="_Toc95924848"/>
      <w:r>
        <w:rPr>
          <w:rFonts w:hint="eastAsia" w:ascii="黑体" w:hAnsi="黑体" w:eastAsia="黑体"/>
          <w:sz w:val="24"/>
          <w:szCs w:val="24"/>
        </w:rPr>
        <w:drawing>
          <wp:anchor distT="0" distB="0" distL="114300" distR="114300" simplePos="0" relativeHeight="251659264" behindDoc="0" locked="0" layoutInCell="1" allowOverlap="1">
            <wp:simplePos x="0" y="0"/>
            <wp:positionH relativeFrom="column">
              <wp:posOffset>13335</wp:posOffset>
            </wp:positionH>
            <wp:positionV relativeFrom="paragraph">
              <wp:posOffset>255270</wp:posOffset>
            </wp:positionV>
            <wp:extent cx="10290175" cy="13161645"/>
            <wp:effectExtent l="19050" t="0" r="0" b="0"/>
            <wp:wrapNone/>
            <wp:docPr id="33" name="图片 23" descr="青阳县农村公路线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descr="青阳县农村公路线路图"/>
                    <pic:cNvPicPr>
                      <a:picLocks noChangeAspect="1" noChangeArrowheads="1"/>
                    </pic:cNvPicPr>
                  </pic:nvPicPr>
                  <pic:blipFill>
                    <a:blip r:embed="rId17"/>
                    <a:stretch>
                      <a:fillRect/>
                    </a:stretch>
                  </pic:blipFill>
                  <pic:spPr>
                    <a:xfrm>
                      <a:off x="0" y="0"/>
                      <a:ext cx="10291038" cy="13162403"/>
                    </a:xfrm>
                    <a:prstGeom prst="rect">
                      <a:avLst/>
                    </a:prstGeom>
                    <a:noFill/>
                    <a:ln w="9525">
                      <a:noFill/>
                      <a:miter lim="800000"/>
                      <a:headEnd/>
                      <a:tailEnd/>
                    </a:ln>
                  </pic:spPr>
                </pic:pic>
              </a:graphicData>
            </a:graphic>
          </wp:anchor>
        </w:drawing>
      </w:r>
      <w:bookmarkStart w:id="129" w:name="_Toc104537537"/>
      <w:r>
        <w:rPr>
          <w:rFonts w:hint="eastAsia" w:ascii="黑体" w:hAnsi="黑体" w:eastAsia="黑体"/>
          <w:sz w:val="24"/>
          <w:szCs w:val="24"/>
        </w:rPr>
        <w:t>附图五：</w:t>
      </w:r>
      <w:bookmarkEnd w:id="128"/>
      <w:bookmarkEnd w:id="129"/>
    </w:p>
    <w:p/>
    <w:p/>
    <w:p/>
    <w:p/>
    <w:p/>
    <w:p/>
    <w:p/>
    <w:p/>
    <w:p/>
    <w:p/>
    <w:p/>
    <w:p/>
    <w:p/>
    <w:p/>
    <w:p/>
    <w:p/>
    <w:p/>
    <w:p/>
    <w:p/>
    <w:p/>
    <w:p/>
    <w:p/>
    <w:p/>
    <w:p/>
    <w:p/>
    <w:p/>
    <w:p/>
    <w:p/>
    <w:p/>
    <w:p/>
    <w:p/>
    <w:p/>
    <w:p/>
    <w:p/>
    <w:p/>
    <w:p/>
    <w:p/>
    <w:p/>
    <w:p/>
    <w:p/>
    <w:p/>
    <w:p/>
    <w:p/>
    <w:p/>
    <w:p/>
    <w:p/>
    <w:p/>
    <w:p/>
    <w:p/>
    <w:p/>
    <w:p/>
    <w:p/>
    <w:p/>
    <w:p/>
    <w:p/>
    <w:p/>
    <w:p/>
    <w:p/>
    <w:p/>
    <w:p/>
    <w:p/>
    <w:p/>
    <w:p/>
    <w:p/>
    <w:p>
      <w:pPr>
        <w:pStyle w:val="2"/>
        <w:spacing w:before="0" w:after="0" w:line="240" w:lineRule="auto"/>
        <w:jc w:val="left"/>
        <w:rPr>
          <w:rFonts w:ascii="黑体" w:hAnsi="黑体" w:eastAsia="黑体"/>
          <w:sz w:val="24"/>
          <w:szCs w:val="24"/>
        </w:rPr>
      </w:pPr>
      <w:bookmarkStart w:id="130" w:name="_Toc104537538"/>
      <w:r>
        <w:rPr>
          <w:rFonts w:hint="eastAsia" w:ascii="黑体" w:hAnsi="黑体" w:eastAsia="黑体"/>
          <w:sz w:val="24"/>
          <w:szCs w:val="24"/>
        </w:rPr>
        <w:t>附图六：</w:t>
      </w:r>
      <w:bookmarkEnd w:id="130"/>
    </w:p>
    <w:p>
      <w:r>
        <w:drawing>
          <wp:anchor distT="0" distB="0" distL="114300" distR="114300" simplePos="0" relativeHeight="251662336" behindDoc="0" locked="0" layoutInCell="1" allowOverlap="1">
            <wp:simplePos x="0" y="0"/>
            <wp:positionH relativeFrom="column">
              <wp:posOffset>16510</wp:posOffset>
            </wp:positionH>
            <wp:positionV relativeFrom="paragraph">
              <wp:posOffset>254635</wp:posOffset>
            </wp:positionV>
            <wp:extent cx="10293350" cy="13003530"/>
            <wp:effectExtent l="19050" t="0" r="0" b="0"/>
            <wp:wrapNone/>
            <wp:docPr id="9" name="图片 23" descr="青阳县农村公路线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3" descr="青阳县农村公路线路图"/>
                    <pic:cNvPicPr>
                      <a:picLocks noChangeAspect="1" noChangeArrowheads="1"/>
                    </pic:cNvPicPr>
                  </pic:nvPicPr>
                  <pic:blipFill>
                    <a:blip r:embed="rId18"/>
                    <a:stretch>
                      <a:fillRect/>
                    </a:stretch>
                  </pic:blipFill>
                  <pic:spPr>
                    <a:xfrm>
                      <a:off x="0" y="0"/>
                      <a:ext cx="10290810" cy="13000368"/>
                    </a:xfrm>
                    <a:prstGeom prst="rect">
                      <a:avLst/>
                    </a:prstGeom>
                    <a:noFill/>
                    <a:ln w="9525">
                      <a:noFill/>
                      <a:miter lim="800000"/>
                      <a:headEnd/>
                      <a:tailEnd/>
                    </a:ln>
                  </pic:spPr>
                </pic:pic>
              </a:graphicData>
            </a:graphic>
          </wp:anchor>
        </w:drawing>
      </w:r>
    </w:p>
    <w:sectPr>
      <w:pgSz w:w="16838" w:h="23811"/>
      <w:pgMar w:top="851" w:right="244" w:bottom="851" w:left="238"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imesNewRomanPS-BoldMT">
    <w:altName w:val="Segoe Print"/>
    <w:panose1 w:val="00000000000000000000"/>
    <w:charset w:val="00"/>
    <w:family w:val="roman"/>
    <w:pitch w:val="default"/>
    <w:sig w:usb0="00000000" w:usb1="00000000" w:usb2="00000000" w:usb3="00000000" w:csb0="00000000" w:csb1="00000000"/>
  </w:font>
  <w:font w:name="Segoe Print">
    <w:panose1 w:val="020008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roma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p>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389465"/>
    </w:sdtPr>
    <w:sdtContent>
      <w:p>
        <w:pPr>
          <w:pStyle w:val="15"/>
          <w:jc w:val="center"/>
        </w:pPr>
        <w:r>
          <w:fldChar w:fldCharType="begin"/>
        </w:r>
        <w:r>
          <w:instrText xml:space="preserve">PAGE   \* MERGEFORMAT</w:instrText>
        </w:r>
        <w:r>
          <w:fldChar w:fldCharType="separate"/>
        </w:r>
        <w:r>
          <w:rPr>
            <w:lang w:val="zh-CN"/>
          </w:rPr>
          <w:t>II</w:t>
        </w:r>
        <w:r>
          <w:rPr>
            <w:lang w:val="zh-CN"/>
          </w:rPr>
          <w:fldChar w:fldCharType="end"/>
        </w:r>
      </w:p>
    </w:sdtContent>
  </w:sdt>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389463"/>
    </w:sdtPr>
    <w:sdtEndPr>
      <w:rPr>
        <w:rFonts w:ascii="楷体" w:hAnsi="楷体" w:eastAsia="楷体"/>
      </w:rPr>
    </w:sdtEndPr>
    <w:sdtContent>
      <w:p>
        <w:pPr>
          <w:pStyle w:val="15"/>
          <w:jc w:val="center"/>
          <w:rPr>
            <w:rFonts w:ascii="楷体" w:hAnsi="楷体" w:eastAsia="楷体"/>
          </w:rPr>
        </w:pP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lang w:val="zh-CN"/>
          </w:rPr>
          <w:t>5</w:t>
        </w:r>
        <w:r>
          <w:rPr>
            <w:rFonts w:ascii="楷体" w:hAnsi="楷体" w:eastAsia="楷体"/>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single" w:color="auto" w:sz="4" w:space="1"/>
      </w:pBdr>
      <w:jc w:val="both"/>
    </w:pPr>
    <w:r>
      <w:rPr>
        <w:rFonts w:hint="eastAsia"/>
      </w:rPr>
      <w:t>青阳县“十四五”综合交通运输发展规划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20"/>
  <w:drawingGridVerticalSpacing w:val="163"/>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26C"/>
    <w:rsid w:val="0000065B"/>
    <w:rsid w:val="00000931"/>
    <w:rsid w:val="00003064"/>
    <w:rsid w:val="00003786"/>
    <w:rsid w:val="0000391D"/>
    <w:rsid w:val="00004015"/>
    <w:rsid w:val="000047DD"/>
    <w:rsid w:val="00004F0F"/>
    <w:rsid w:val="00007085"/>
    <w:rsid w:val="00010AB0"/>
    <w:rsid w:val="000126CD"/>
    <w:rsid w:val="00014BFD"/>
    <w:rsid w:val="0001546E"/>
    <w:rsid w:val="00017C49"/>
    <w:rsid w:val="000206E6"/>
    <w:rsid w:val="00020BE1"/>
    <w:rsid w:val="00021CD6"/>
    <w:rsid w:val="00022238"/>
    <w:rsid w:val="00023759"/>
    <w:rsid w:val="00023DC2"/>
    <w:rsid w:val="00024A0A"/>
    <w:rsid w:val="00025337"/>
    <w:rsid w:val="0002690D"/>
    <w:rsid w:val="000271F8"/>
    <w:rsid w:val="000273AF"/>
    <w:rsid w:val="000275F7"/>
    <w:rsid w:val="00030616"/>
    <w:rsid w:val="00031C8D"/>
    <w:rsid w:val="00031FCF"/>
    <w:rsid w:val="00032E25"/>
    <w:rsid w:val="0003359F"/>
    <w:rsid w:val="0003379A"/>
    <w:rsid w:val="00033D2C"/>
    <w:rsid w:val="00035032"/>
    <w:rsid w:val="00036157"/>
    <w:rsid w:val="000364A8"/>
    <w:rsid w:val="00037A31"/>
    <w:rsid w:val="00037DF8"/>
    <w:rsid w:val="00044431"/>
    <w:rsid w:val="00044D14"/>
    <w:rsid w:val="000455AF"/>
    <w:rsid w:val="0004628A"/>
    <w:rsid w:val="00050FAA"/>
    <w:rsid w:val="00051942"/>
    <w:rsid w:val="00052E06"/>
    <w:rsid w:val="00053F13"/>
    <w:rsid w:val="00055BE8"/>
    <w:rsid w:val="0005740A"/>
    <w:rsid w:val="000575FF"/>
    <w:rsid w:val="00060BD2"/>
    <w:rsid w:val="000666CA"/>
    <w:rsid w:val="000668A4"/>
    <w:rsid w:val="00066D36"/>
    <w:rsid w:val="00067A87"/>
    <w:rsid w:val="00067FB1"/>
    <w:rsid w:val="00070454"/>
    <w:rsid w:val="0007145F"/>
    <w:rsid w:val="0007212D"/>
    <w:rsid w:val="000723AA"/>
    <w:rsid w:val="0007262E"/>
    <w:rsid w:val="00072E5C"/>
    <w:rsid w:val="00072E5D"/>
    <w:rsid w:val="00073CB3"/>
    <w:rsid w:val="000745FF"/>
    <w:rsid w:val="0007479E"/>
    <w:rsid w:val="000747CF"/>
    <w:rsid w:val="00075573"/>
    <w:rsid w:val="000759E5"/>
    <w:rsid w:val="00076402"/>
    <w:rsid w:val="000766FC"/>
    <w:rsid w:val="00076F79"/>
    <w:rsid w:val="000776E7"/>
    <w:rsid w:val="00080529"/>
    <w:rsid w:val="000805B1"/>
    <w:rsid w:val="00080C41"/>
    <w:rsid w:val="00081117"/>
    <w:rsid w:val="0008154B"/>
    <w:rsid w:val="000820B5"/>
    <w:rsid w:val="000831D2"/>
    <w:rsid w:val="00084586"/>
    <w:rsid w:val="0008678D"/>
    <w:rsid w:val="00093F9B"/>
    <w:rsid w:val="00094920"/>
    <w:rsid w:val="000959FA"/>
    <w:rsid w:val="00096295"/>
    <w:rsid w:val="00096B31"/>
    <w:rsid w:val="00097F74"/>
    <w:rsid w:val="000A0B6B"/>
    <w:rsid w:val="000A2BCE"/>
    <w:rsid w:val="000A343F"/>
    <w:rsid w:val="000A41EC"/>
    <w:rsid w:val="000A4BBF"/>
    <w:rsid w:val="000A548A"/>
    <w:rsid w:val="000A5856"/>
    <w:rsid w:val="000A7317"/>
    <w:rsid w:val="000B1B38"/>
    <w:rsid w:val="000B1CFA"/>
    <w:rsid w:val="000B29A7"/>
    <w:rsid w:val="000B3E2B"/>
    <w:rsid w:val="000B43AD"/>
    <w:rsid w:val="000B4CF6"/>
    <w:rsid w:val="000B551F"/>
    <w:rsid w:val="000B56B5"/>
    <w:rsid w:val="000B58F3"/>
    <w:rsid w:val="000B594F"/>
    <w:rsid w:val="000B5FA6"/>
    <w:rsid w:val="000B750B"/>
    <w:rsid w:val="000B7654"/>
    <w:rsid w:val="000B7E0E"/>
    <w:rsid w:val="000C21DF"/>
    <w:rsid w:val="000C32D0"/>
    <w:rsid w:val="000C3496"/>
    <w:rsid w:val="000C3909"/>
    <w:rsid w:val="000C3B61"/>
    <w:rsid w:val="000C53FC"/>
    <w:rsid w:val="000C6226"/>
    <w:rsid w:val="000C64BE"/>
    <w:rsid w:val="000C692F"/>
    <w:rsid w:val="000C72FA"/>
    <w:rsid w:val="000C7D05"/>
    <w:rsid w:val="000D203B"/>
    <w:rsid w:val="000D3E6C"/>
    <w:rsid w:val="000D4CC9"/>
    <w:rsid w:val="000E0481"/>
    <w:rsid w:val="000E04B4"/>
    <w:rsid w:val="000E07BB"/>
    <w:rsid w:val="000E08C4"/>
    <w:rsid w:val="000E18F5"/>
    <w:rsid w:val="000E1C10"/>
    <w:rsid w:val="000E2ACA"/>
    <w:rsid w:val="000E3772"/>
    <w:rsid w:val="000E44BF"/>
    <w:rsid w:val="000E5836"/>
    <w:rsid w:val="000E623F"/>
    <w:rsid w:val="000E6316"/>
    <w:rsid w:val="000E68E9"/>
    <w:rsid w:val="000E6D49"/>
    <w:rsid w:val="000E6EC3"/>
    <w:rsid w:val="000E7531"/>
    <w:rsid w:val="000E7EFA"/>
    <w:rsid w:val="000F162B"/>
    <w:rsid w:val="000F2E5E"/>
    <w:rsid w:val="000F43B2"/>
    <w:rsid w:val="000F5DAF"/>
    <w:rsid w:val="000F62D1"/>
    <w:rsid w:val="000F6CE2"/>
    <w:rsid w:val="000F7DBC"/>
    <w:rsid w:val="0010055F"/>
    <w:rsid w:val="00101540"/>
    <w:rsid w:val="00102DB9"/>
    <w:rsid w:val="00103047"/>
    <w:rsid w:val="0010454E"/>
    <w:rsid w:val="00105755"/>
    <w:rsid w:val="00105C65"/>
    <w:rsid w:val="00106A02"/>
    <w:rsid w:val="001077A0"/>
    <w:rsid w:val="0011082B"/>
    <w:rsid w:val="00110EFA"/>
    <w:rsid w:val="001116F3"/>
    <w:rsid w:val="0011205D"/>
    <w:rsid w:val="00112CEA"/>
    <w:rsid w:val="00113AAC"/>
    <w:rsid w:val="00115543"/>
    <w:rsid w:val="001163F2"/>
    <w:rsid w:val="00116E05"/>
    <w:rsid w:val="00117717"/>
    <w:rsid w:val="001205D2"/>
    <w:rsid w:val="00121777"/>
    <w:rsid w:val="0012239B"/>
    <w:rsid w:val="0012453D"/>
    <w:rsid w:val="0012541F"/>
    <w:rsid w:val="00130564"/>
    <w:rsid w:val="00130783"/>
    <w:rsid w:val="0013161C"/>
    <w:rsid w:val="00133DC5"/>
    <w:rsid w:val="0013405C"/>
    <w:rsid w:val="001344FD"/>
    <w:rsid w:val="00135231"/>
    <w:rsid w:val="0013568B"/>
    <w:rsid w:val="001358CD"/>
    <w:rsid w:val="00135975"/>
    <w:rsid w:val="0013721E"/>
    <w:rsid w:val="00137C52"/>
    <w:rsid w:val="00140F97"/>
    <w:rsid w:val="00141483"/>
    <w:rsid w:val="00141D8A"/>
    <w:rsid w:val="00142E25"/>
    <w:rsid w:val="00145556"/>
    <w:rsid w:val="00145B95"/>
    <w:rsid w:val="001462B2"/>
    <w:rsid w:val="001472EA"/>
    <w:rsid w:val="00147BD2"/>
    <w:rsid w:val="001505D7"/>
    <w:rsid w:val="001505EC"/>
    <w:rsid w:val="00156A2D"/>
    <w:rsid w:val="001577C5"/>
    <w:rsid w:val="00157A9A"/>
    <w:rsid w:val="00160DAC"/>
    <w:rsid w:val="0016155D"/>
    <w:rsid w:val="00162538"/>
    <w:rsid w:val="001632B0"/>
    <w:rsid w:val="00163A39"/>
    <w:rsid w:val="00163EED"/>
    <w:rsid w:val="00166C5D"/>
    <w:rsid w:val="0016749D"/>
    <w:rsid w:val="001719A7"/>
    <w:rsid w:val="001727A5"/>
    <w:rsid w:val="001734E5"/>
    <w:rsid w:val="00173C3C"/>
    <w:rsid w:val="00173FA9"/>
    <w:rsid w:val="00176BB1"/>
    <w:rsid w:val="0018093F"/>
    <w:rsid w:val="00181477"/>
    <w:rsid w:val="001833A0"/>
    <w:rsid w:val="0018473C"/>
    <w:rsid w:val="00184A10"/>
    <w:rsid w:val="00184D07"/>
    <w:rsid w:val="001852C4"/>
    <w:rsid w:val="001864E2"/>
    <w:rsid w:val="0018753D"/>
    <w:rsid w:val="0018791C"/>
    <w:rsid w:val="00190D04"/>
    <w:rsid w:val="0019136B"/>
    <w:rsid w:val="001924D6"/>
    <w:rsid w:val="00192FD6"/>
    <w:rsid w:val="001933DE"/>
    <w:rsid w:val="0019451F"/>
    <w:rsid w:val="001964A5"/>
    <w:rsid w:val="00197090"/>
    <w:rsid w:val="00197389"/>
    <w:rsid w:val="00197F88"/>
    <w:rsid w:val="001A076C"/>
    <w:rsid w:val="001A090D"/>
    <w:rsid w:val="001A0CCF"/>
    <w:rsid w:val="001A0FE8"/>
    <w:rsid w:val="001A1B0F"/>
    <w:rsid w:val="001A1DE0"/>
    <w:rsid w:val="001A311D"/>
    <w:rsid w:val="001A3788"/>
    <w:rsid w:val="001A740D"/>
    <w:rsid w:val="001A7617"/>
    <w:rsid w:val="001B00F6"/>
    <w:rsid w:val="001B1797"/>
    <w:rsid w:val="001B328E"/>
    <w:rsid w:val="001B33C9"/>
    <w:rsid w:val="001B3F36"/>
    <w:rsid w:val="001B454E"/>
    <w:rsid w:val="001B4B09"/>
    <w:rsid w:val="001B554D"/>
    <w:rsid w:val="001B63FB"/>
    <w:rsid w:val="001B6E1E"/>
    <w:rsid w:val="001B74FC"/>
    <w:rsid w:val="001C085E"/>
    <w:rsid w:val="001C0E71"/>
    <w:rsid w:val="001C0FF8"/>
    <w:rsid w:val="001C118E"/>
    <w:rsid w:val="001C33A4"/>
    <w:rsid w:val="001C4097"/>
    <w:rsid w:val="001C5F86"/>
    <w:rsid w:val="001C5FDE"/>
    <w:rsid w:val="001C79F8"/>
    <w:rsid w:val="001D01E9"/>
    <w:rsid w:val="001D03F1"/>
    <w:rsid w:val="001D074E"/>
    <w:rsid w:val="001D0E16"/>
    <w:rsid w:val="001D0FCE"/>
    <w:rsid w:val="001D1CC4"/>
    <w:rsid w:val="001D31D9"/>
    <w:rsid w:val="001D32E3"/>
    <w:rsid w:val="001D3814"/>
    <w:rsid w:val="001D3CFF"/>
    <w:rsid w:val="001D4556"/>
    <w:rsid w:val="001D52B6"/>
    <w:rsid w:val="001D53B7"/>
    <w:rsid w:val="001D716C"/>
    <w:rsid w:val="001E0398"/>
    <w:rsid w:val="001E0EE3"/>
    <w:rsid w:val="001E1FC2"/>
    <w:rsid w:val="001E2265"/>
    <w:rsid w:val="001E22C4"/>
    <w:rsid w:val="001E348C"/>
    <w:rsid w:val="001E41BD"/>
    <w:rsid w:val="001E466A"/>
    <w:rsid w:val="001E4D72"/>
    <w:rsid w:val="001E5AD3"/>
    <w:rsid w:val="001E7164"/>
    <w:rsid w:val="001F0041"/>
    <w:rsid w:val="001F0042"/>
    <w:rsid w:val="001F0511"/>
    <w:rsid w:val="001F116F"/>
    <w:rsid w:val="001F2C41"/>
    <w:rsid w:val="001F2E2A"/>
    <w:rsid w:val="001F3454"/>
    <w:rsid w:val="001F3E66"/>
    <w:rsid w:val="001F56C9"/>
    <w:rsid w:val="001F5B10"/>
    <w:rsid w:val="001F665E"/>
    <w:rsid w:val="001F737F"/>
    <w:rsid w:val="00204735"/>
    <w:rsid w:val="00205667"/>
    <w:rsid w:val="0020673F"/>
    <w:rsid w:val="002068E3"/>
    <w:rsid w:val="002107DC"/>
    <w:rsid w:val="00210CF5"/>
    <w:rsid w:val="00210E24"/>
    <w:rsid w:val="00211A46"/>
    <w:rsid w:val="00211FC9"/>
    <w:rsid w:val="0021305C"/>
    <w:rsid w:val="002130C0"/>
    <w:rsid w:val="00213C02"/>
    <w:rsid w:val="00213ECF"/>
    <w:rsid w:val="00213EF5"/>
    <w:rsid w:val="00214746"/>
    <w:rsid w:val="002147EC"/>
    <w:rsid w:val="00215027"/>
    <w:rsid w:val="00215369"/>
    <w:rsid w:val="002159DE"/>
    <w:rsid w:val="00215FDF"/>
    <w:rsid w:val="00217CC0"/>
    <w:rsid w:val="00217D80"/>
    <w:rsid w:val="0022050F"/>
    <w:rsid w:val="0022392F"/>
    <w:rsid w:val="00226CEC"/>
    <w:rsid w:val="0022722C"/>
    <w:rsid w:val="002274CB"/>
    <w:rsid w:val="00227A81"/>
    <w:rsid w:val="00230526"/>
    <w:rsid w:val="002311D4"/>
    <w:rsid w:val="0023168C"/>
    <w:rsid w:val="0023172E"/>
    <w:rsid w:val="00235895"/>
    <w:rsid w:val="00236278"/>
    <w:rsid w:val="002419CB"/>
    <w:rsid w:val="00242E01"/>
    <w:rsid w:val="00243796"/>
    <w:rsid w:val="00243A06"/>
    <w:rsid w:val="00243E41"/>
    <w:rsid w:val="00245265"/>
    <w:rsid w:val="00246599"/>
    <w:rsid w:val="00247B4A"/>
    <w:rsid w:val="00247FBD"/>
    <w:rsid w:val="00247FBF"/>
    <w:rsid w:val="002503F1"/>
    <w:rsid w:val="002529EC"/>
    <w:rsid w:val="00252A07"/>
    <w:rsid w:val="00253719"/>
    <w:rsid w:val="002542C7"/>
    <w:rsid w:val="002543C6"/>
    <w:rsid w:val="002546B1"/>
    <w:rsid w:val="00254F58"/>
    <w:rsid w:val="002556B4"/>
    <w:rsid w:val="00255A5A"/>
    <w:rsid w:val="00256531"/>
    <w:rsid w:val="00256C1C"/>
    <w:rsid w:val="00257644"/>
    <w:rsid w:val="00257C84"/>
    <w:rsid w:val="00257D40"/>
    <w:rsid w:val="002658F5"/>
    <w:rsid w:val="00266C59"/>
    <w:rsid w:val="00270DB2"/>
    <w:rsid w:val="0027306D"/>
    <w:rsid w:val="00273399"/>
    <w:rsid w:val="002755FB"/>
    <w:rsid w:val="00275668"/>
    <w:rsid w:val="0027584D"/>
    <w:rsid w:val="00275B2E"/>
    <w:rsid w:val="00276589"/>
    <w:rsid w:val="0027694F"/>
    <w:rsid w:val="00277E51"/>
    <w:rsid w:val="002807D2"/>
    <w:rsid w:val="00280970"/>
    <w:rsid w:val="00280CBF"/>
    <w:rsid w:val="002818FA"/>
    <w:rsid w:val="00281ADF"/>
    <w:rsid w:val="00281C12"/>
    <w:rsid w:val="00283D65"/>
    <w:rsid w:val="00284ED7"/>
    <w:rsid w:val="0028560C"/>
    <w:rsid w:val="002856C3"/>
    <w:rsid w:val="00290D11"/>
    <w:rsid w:val="002912F3"/>
    <w:rsid w:val="0029236A"/>
    <w:rsid w:val="0029246C"/>
    <w:rsid w:val="002925CC"/>
    <w:rsid w:val="002929E6"/>
    <w:rsid w:val="00292E01"/>
    <w:rsid w:val="0029364C"/>
    <w:rsid w:val="002940F6"/>
    <w:rsid w:val="002949B8"/>
    <w:rsid w:val="0029545F"/>
    <w:rsid w:val="002954A5"/>
    <w:rsid w:val="00296221"/>
    <w:rsid w:val="002963D5"/>
    <w:rsid w:val="002972ED"/>
    <w:rsid w:val="0029755F"/>
    <w:rsid w:val="002978C4"/>
    <w:rsid w:val="002A11F5"/>
    <w:rsid w:val="002A14FC"/>
    <w:rsid w:val="002A23FB"/>
    <w:rsid w:val="002A3363"/>
    <w:rsid w:val="002A3A99"/>
    <w:rsid w:val="002A4BD1"/>
    <w:rsid w:val="002A4E5D"/>
    <w:rsid w:val="002A54C2"/>
    <w:rsid w:val="002A655F"/>
    <w:rsid w:val="002A6563"/>
    <w:rsid w:val="002A71AA"/>
    <w:rsid w:val="002B1A6F"/>
    <w:rsid w:val="002B61B4"/>
    <w:rsid w:val="002B6858"/>
    <w:rsid w:val="002B6A90"/>
    <w:rsid w:val="002B6B68"/>
    <w:rsid w:val="002C3566"/>
    <w:rsid w:val="002C3BA4"/>
    <w:rsid w:val="002C46BF"/>
    <w:rsid w:val="002C54EC"/>
    <w:rsid w:val="002C5B62"/>
    <w:rsid w:val="002C66F1"/>
    <w:rsid w:val="002D0452"/>
    <w:rsid w:val="002D1BD1"/>
    <w:rsid w:val="002D2F34"/>
    <w:rsid w:val="002D31F6"/>
    <w:rsid w:val="002D397E"/>
    <w:rsid w:val="002D39D2"/>
    <w:rsid w:val="002D4494"/>
    <w:rsid w:val="002D6010"/>
    <w:rsid w:val="002D608C"/>
    <w:rsid w:val="002D6D45"/>
    <w:rsid w:val="002E1203"/>
    <w:rsid w:val="002E12A2"/>
    <w:rsid w:val="002E263F"/>
    <w:rsid w:val="002E2CDC"/>
    <w:rsid w:val="002E37BB"/>
    <w:rsid w:val="002E46F8"/>
    <w:rsid w:val="002E64E1"/>
    <w:rsid w:val="002E71D7"/>
    <w:rsid w:val="002F1CBA"/>
    <w:rsid w:val="002F2059"/>
    <w:rsid w:val="002F2DAB"/>
    <w:rsid w:val="002F34C4"/>
    <w:rsid w:val="002F35B2"/>
    <w:rsid w:val="002F395F"/>
    <w:rsid w:val="002F5B43"/>
    <w:rsid w:val="002F64E7"/>
    <w:rsid w:val="002F6998"/>
    <w:rsid w:val="002F6EE1"/>
    <w:rsid w:val="002F7BB8"/>
    <w:rsid w:val="00301144"/>
    <w:rsid w:val="003014D2"/>
    <w:rsid w:val="00303F8E"/>
    <w:rsid w:val="0030420A"/>
    <w:rsid w:val="003042ED"/>
    <w:rsid w:val="003047E5"/>
    <w:rsid w:val="003048B2"/>
    <w:rsid w:val="003063D5"/>
    <w:rsid w:val="00307E3B"/>
    <w:rsid w:val="003100F9"/>
    <w:rsid w:val="0031215F"/>
    <w:rsid w:val="003131C9"/>
    <w:rsid w:val="00314323"/>
    <w:rsid w:val="003162B1"/>
    <w:rsid w:val="003164A3"/>
    <w:rsid w:val="00320B44"/>
    <w:rsid w:val="003216CA"/>
    <w:rsid w:val="0032247C"/>
    <w:rsid w:val="003235CA"/>
    <w:rsid w:val="0032576E"/>
    <w:rsid w:val="0032694D"/>
    <w:rsid w:val="00327FFC"/>
    <w:rsid w:val="00330CC6"/>
    <w:rsid w:val="0033234B"/>
    <w:rsid w:val="0033312C"/>
    <w:rsid w:val="00334109"/>
    <w:rsid w:val="00334DEC"/>
    <w:rsid w:val="00334F54"/>
    <w:rsid w:val="003359C1"/>
    <w:rsid w:val="003365F1"/>
    <w:rsid w:val="00336889"/>
    <w:rsid w:val="00336B40"/>
    <w:rsid w:val="00337170"/>
    <w:rsid w:val="003408B6"/>
    <w:rsid w:val="00342331"/>
    <w:rsid w:val="00344192"/>
    <w:rsid w:val="003446DC"/>
    <w:rsid w:val="00344CBE"/>
    <w:rsid w:val="0034548A"/>
    <w:rsid w:val="0034637B"/>
    <w:rsid w:val="003466B9"/>
    <w:rsid w:val="003536CC"/>
    <w:rsid w:val="003544C5"/>
    <w:rsid w:val="0035483B"/>
    <w:rsid w:val="00354CD9"/>
    <w:rsid w:val="00355E9C"/>
    <w:rsid w:val="00356030"/>
    <w:rsid w:val="00356CA1"/>
    <w:rsid w:val="0036063A"/>
    <w:rsid w:val="0036084B"/>
    <w:rsid w:val="003608E0"/>
    <w:rsid w:val="00360E89"/>
    <w:rsid w:val="00361D68"/>
    <w:rsid w:val="00362146"/>
    <w:rsid w:val="003629C1"/>
    <w:rsid w:val="003629D3"/>
    <w:rsid w:val="003632D9"/>
    <w:rsid w:val="003633CB"/>
    <w:rsid w:val="00364067"/>
    <w:rsid w:val="00365131"/>
    <w:rsid w:val="00366F8A"/>
    <w:rsid w:val="003671B3"/>
    <w:rsid w:val="00367F6C"/>
    <w:rsid w:val="003700AF"/>
    <w:rsid w:val="00372037"/>
    <w:rsid w:val="00372247"/>
    <w:rsid w:val="003736DD"/>
    <w:rsid w:val="003747FA"/>
    <w:rsid w:val="00375F10"/>
    <w:rsid w:val="003761B9"/>
    <w:rsid w:val="00376A2A"/>
    <w:rsid w:val="00377279"/>
    <w:rsid w:val="0037761F"/>
    <w:rsid w:val="00377E8B"/>
    <w:rsid w:val="00380E08"/>
    <w:rsid w:val="003814BB"/>
    <w:rsid w:val="00381681"/>
    <w:rsid w:val="0038210C"/>
    <w:rsid w:val="00385C2B"/>
    <w:rsid w:val="0038762C"/>
    <w:rsid w:val="00387D27"/>
    <w:rsid w:val="00390551"/>
    <w:rsid w:val="00390C93"/>
    <w:rsid w:val="00391944"/>
    <w:rsid w:val="00394859"/>
    <w:rsid w:val="00394A73"/>
    <w:rsid w:val="003951BD"/>
    <w:rsid w:val="003960D1"/>
    <w:rsid w:val="003970FA"/>
    <w:rsid w:val="0039752E"/>
    <w:rsid w:val="003A0B83"/>
    <w:rsid w:val="003A0C24"/>
    <w:rsid w:val="003A0F86"/>
    <w:rsid w:val="003A1040"/>
    <w:rsid w:val="003A145A"/>
    <w:rsid w:val="003A30A3"/>
    <w:rsid w:val="003A313A"/>
    <w:rsid w:val="003A4067"/>
    <w:rsid w:val="003A410B"/>
    <w:rsid w:val="003A558A"/>
    <w:rsid w:val="003A63FC"/>
    <w:rsid w:val="003A6500"/>
    <w:rsid w:val="003B0452"/>
    <w:rsid w:val="003B2799"/>
    <w:rsid w:val="003B2AC0"/>
    <w:rsid w:val="003B61A5"/>
    <w:rsid w:val="003B64DB"/>
    <w:rsid w:val="003B6749"/>
    <w:rsid w:val="003B6877"/>
    <w:rsid w:val="003B7292"/>
    <w:rsid w:val="003B73E5"/>
    <w:rsid w:val="003B7542"/>
    <w:rsid w:val="003C00C4"/>
    <w:rsid w:val="003C0680"/>
    <w:rsid w:val="003C0EB9"/>
    <w:rsid w:val="003C0EC0"/>
    <w:rsid w:val="003C1574"/>
    <w:rsid w:val="003C236B"/>
    <w:rsid w:val="003C259C"/>
    <w:rsid w:val="003C2744"/>
    <w:rsid w:val="003C3CF7"/>
    <w:rsid w:val="003C4BDD"/>
    <w:rsid w:val="003C585A"/>
    <w:rsid w:val="003C65CD"/>
    <w:rsid w:val="003C77B2"/>
    <w:rsid w:val="003D0B39"/>
    <w:rsid w:val="003D0F77"/>
    <w:rsid w:val="003D21C2"/>
    <w:rsid w:val="003D51AC"/>
    <w:rsid w:val="003D5521"/>
    <w:rsid w:val="003D5866"/>
    <w:rsid w:val="003D5DE3"/>
    <w:rsid w:val="003D655A"/>
    <w:rsid w:val="003D6821"/>
    <w:rsid w:val="003E1B29"/>
    <w:rsid w:val="003E1DBD"/>
    <w:rsid w:val="003E2054"/>
    <w:rsid w:val="003E46F3"/>
    <w:rsid w:val="003E47A2"/>
    <w:rsid w:val="003E47FD"/>
    <w:rsid w:val="003E49F2"/>
    <w:rsid w:val="003E625D"/>
    <w:rsid w:val="003E6638"/>
    <w:rsid w:val="003E7ACF"/>
    <w:rsid w:val="003F0359"/>
    <w:rsid w:val="003F0437"/>
    <w:rsid w:val="003F2669"/>
    <w:rsid w:val="003F31EC"/>
    <w:rsid w:val="003F38C9"/>
    <w:rsid w:val="003F3E52"/>
    <w:rsid w:val="003F5E32"/>
    <w:rsid w:val="003F602A"/>
    <w:rsid w:val="003F69DC"/>
    <w:rsid w:val="004019EB"/>
    <w:rsid w:val="00402D87"/>
    <w:rsid w:val="00402F67"/>
    <w:rsid w:val="00403028"/>
    <w:rsid w:val="0040353D"/>
    <w:rsid w:val="00404751"/>
    <w:rsid w:val="00405F32"/>
    <w:rsid w:val="00406EE3"/>
    <w:rsid w:val="00407491"/>
    <w:rsid w:val="004078E7"/>
    <w:rsid w:val="00410B01"/>
    <w:rsid w:val="00412C4C"/>
    <w:rsid w:val="00412FDA"/>
    <w:rsid w:val="00415E4E"/>
    <w:rsid w:val="004166A9"/>
    <w:rsid w:val="004168BC"/>
    <w:rsid w:val="00421938"/>
    <w:rsid w:val="00421979"/>
    <w:rsid w:val="0042265F"/>
    <w:rsid w:val="0042489E"/>
    <w:rsid w:val="00425ECC"/>
    <w:rsid w:val="00426A09"/>
    <w:rsid w:val="00426B5D"/>
    <w:rsid w:val="00431695"/>
    <w:rsid w:val="004325B4"/>
    <w:rsid w:val="00432CB1"/>
    <w:rsid w:val="00433266"/>
    <w:rsid w:val="00433BFB"/>
    <w:rsid w:val="00434425"/>
    <w:rsid w:val="00434AEB"/>
    <w:rsid w:val="004368EB"/>
    <w:rsid w:val="00437261"/>
    <w:rsid w:val="00437CBB"/>
    <w:rsid w:val="00440F60"/>
    <w:rsid w:val="00441348"/>
    <w:rsid w:val="0044143B"/>
    <w:rsid w:val="0044165B"/>
    <w:rsid w:val="00442668"/>
    <w:rsid w:val="0044282A"/>
    <w:rsid w:val="00443D7F"/>
    <w:rsid w:val="00444862"/>
    <w:rsid w:val="00446F7D"/>
    <w:rsid w:val="004506B6"/>
    <w:rsid w:val="00450EA0"/>
    <w:rsid w:val="00451D92"/>
    <w:rsid w:val="0045202E"/>
    <w:rsid w:val="004520B7"/>
    <w:rsid w:val="004527F8"/>
    <w:rsid w:val="00453A29"/>
    <w:rsid w:val="00454085"/>
    <w:rsid w:val="004541C0"/>
    <w:rsid w:val="00455C3C"/>
    <w:rsid w:val="00456EAA"/>
    <w:rsid w:val="004606F5"/>
    <w:rsid w:val="0046117A"/>
    <w:rsid w:val="00462F86"/>
    <w:rsid w:val="00462F98"/>
    <w:rsid w:val="004660BC"/>
    <w:rsid w:val="00466487"/>
    <w:rsid w:val="0046673A"/>
    <w:rsid w:val="004667B5"/>
    <w:rsid w:val="00466BFB"/>
    <w:rsid w:val="00466C47"/>
    <w:rsid w:val="004671F3"/>
    <w:rsid w:val="00467864"/>
    <w:rsid w:val="00467FD5"/>
    <w:rsid w:val="004709B9"/>
    <w:rsid w:val="00471B0E"/>
    <w:rsid w:val="004721DF"/>
    <w:rsid w:val="004731F9"/>
    <w:rsid w:val="0047415F"/>
    <w:rsid w:val="004741FD"/>
    <w:rsid w:val="00475B7D"/>
    <w:rsid w:val="0048276F"/>
    <w:rsid w:val="00482D11"/>
    <w:rsid w:val="00482F8B"/>
    <w:rsid w:val="004837D7"/>
    <w:rsid w:val="004863D9"/>
    <w:rsid w:val="0048769E"/>
    <w:rsid w:val="0049333E"/>
    <w:rsid w:val="0049390A"/>
    <w:rsid w:val="0049427B"/>
    <w:rsid w:val="004951D6"/>
    <w:rsid w:val="00495BF9"/>
    <w:rsid w:val="004975D7"/>
    <w:rsid w:val="004A010F"/>
    <w:rsid w:val="004A1267"/>
    <w:rsid w:val="004A3DEE"/>
    <w:rsid w:val="004A4245"/>
    <w:rsid w:val="004A6B0A"/>
    <w:rsid w:val="004B08F4"/>
    <w:rsid w:val="004B29CD"/>
    <w:rsid w:val="004B3ED4"/>
    <w:rsid w:val="004B4FF1"/>
    <w:rsid w:val="004B5D45"/>
    <w:rsid w:val="004B7B5F"/>
    <w:rsid w:val="004C0BA4"/>
    <w:rsid w:val="004C0CDE"/>
    <w:rsid w:val="004C18D9"/>
    <w:rsid w:val="004C249B"/>
    <w:rsid w:val="004C42CE"/>
    <w:rsid w:val="004C4AC0"/>
    <w:rsid w:val="004C6509"/>
    <w:rsid w:val="004C7CD0"/>
    <w:rsid w:val="004D38B4"/>
    <w:rsid w:val="004D44C2"/>
    <w:rsid w:val="004D4FE4"/>
    <w:rsid w:val="004D61C9"/>
    <w:rsid w:val="004D7932"/>
    <w:rsid w:val="004E047C"/>
    <w:rsid w:val="004E229E"/>
    <w:rsid w:val="004E2712"/>
    <w:rsid w:val="004E2939"/>
    <w:rsid w:val="004E3E11"/>
    <w:rsid w:val="004E4109"/>
    <w:rsid w:val="004E5070"/>
    <w:rsid w:val="004E5AEA"/>
    <w:rsid w:val="004E79C1"/>
    <w:rsid w:val="004E7E5B"/>
    <w:rsid w:val="004F00D2"/>
    <w:rsid w:val="004F096B"/>
    <w:rsid w:val="004F1A8A"/>
    <w:rsid w:val="004F202C"/>
    <w:rsid w:val="004F4142"/>
    <w:rsid w:val="004F4FCB"/>
    <w:rsid w:val="004F5307"/>
    <w:rsid w:val="004F55F7"/>
    <w:rsid w:val="004F579A"/>
    <w:rsid w:val="004F5A90"/>
    <w:rsid w:val="004F60F1"/>
    <w:rsid w:val="004F7146"/>
    <w:rsid w:val="0050194B"/>
    <w:rsid w:val="0050211D"/>
    <w:rsid w:val="0050334A"/>
    <w:rsid w:val="0050360A"/>
    <w:rsid w:val="005045D2"/>
    <w:rsid w:val="005051F1"/>
    <w:rsid w:val="005063C1"/>
    <w:rsid w:val="00506512"/>
    <w:rsid w:val="00507919"/>
    <w:rsid w:val="00510DE1"/>
    <w:rsid w:val="005147CE"/>
    <w:rsid w:val="00514D37"/>
    <w:rsid w:val="00516585"/>
    <w:rsid w:val="005171CA"/>
    <w:rsid w:val="00517641"/>
    <w:rsid w:val="00517A19"/>
    <w:rsid w:val="00521498"/>
    <w:rsid w:val="0052173E"/>
    <w:rsid w:val="00521B52"/>
    <w:rsid w:val="00521D27"/>
    <w:rsid w:val="00521F81"/>
    <w:rsid w:val="00522162"/>
    <w:rsid w:val="005229FF"/>
    <w:rsid w:val="005244D3"/>
    <w:rsid w:val="00525835"/>
    <w:rsid w:val="00525B7F"/>
    <w:rsid w:val="00525F35"/>
    <w:rsid w:val="00526509"/>
    <w:rsid w:val="00530E11"/>
    <w:rsid w:val="005314E6"/>
    <w:rsid w:val="00531B69"/>
    <w:rsid w:val="0053219D"/>
    <w:rsid w:val="005338F5"/>
    <w:rsid w:val="00533B0D"/>
    <w:rsid w:val="00534A99"/>
    <w:rsid w:val="00537478"/>
    <w:rsid w:val="005404BB"/>
    <w:rsid w:val="00540689"/>
    <w:rsid w:val="00540FCC"/>
    <w:rsid w:val="00541E52"/>
    <w:rsid w:val="005420A1"/>
    <w:rsid w:val="0054352B"/>
    <w:rsid w:val="0054584D"/>
    <w:rsid w:val="0055017C"/>
    <w:rsid w:val="005515A7"/>
    <w:rsid w:val="005525B3"/>
    <w:rsid w:val="005527E3"/>
    <w:rsid w:val="00555342"/>
    <w:rsid w:val="00555834"/>
    <w:rsid w:val="00555E7E"/>
    <w:rsid w:val="00556751"/>
    <w:rsid w:val="00557899"/>
    <w:rsid w:val="00560C5C"/>
    <w:rsid w:val="00561329"/>
    <w:rsid w:val="00561859"/>
    <w:rsid w:val="00564A5E"/>
    <w:rsid w:val="00564D26"/>
    <w:rsid w:val="00565816"/>
    <w:rsid w:val="00565EF4"/>
    <w:rsid w:val="00571A90"/>
    <w:rsid w:val="005726B2"/>
    <w:rsid w:val="005744DF"/>
    <w:rsid w:val="0057608F"/>
    <w:rsid w:val="00576CF1"/>
    <w:rsid w:val="005777F5"/>
    <w:rsid w:val="0058316B"/>
    <w:rsid w:val="00584E04"/>
    <w:rsid w:val="00585B83"/>
    <w:rsid w:val="00585CAD"/>
    <w:rsid w:val="0058637C"/>
    <w:rsid w:val="0058691B"/>
    <w:rsid w:val="00587007"/>
    <w:rsid w:val="005877A0"/>
    <w:rsid w:val="005878DA"/>
    <w:rsid w:val="00592A0C"/>
    <w:rsid w:val="00592ECF"/>
    <w:rsid w:val="00593400"/>
    <w:rsid w:val="00596D45"/>
    <w:rsid w:val="00596E4A"/>
    <w:rsid w:val="00597F58"/>
    <w:rsid w:val="005A1A03"/>
    <w:rsid w:val="005A37C4"/>
    <w:rsid w:val="005A5101"/>
    <w:rsid w:val="005A5324"/>
    <w:rsid w:val="005A728D"/>
    <w:rsid w:val="005A7B06"/>
    <w:rsid w:val="005B04B3"/>
    <w:rsid w:val="005B1CFF"/>
    <w:rsid w:val="005B1ED1"/>
    <w:rsid w:val="005B4F06"/>
    <w:rsid w:val="005B5F42"/>
    <w:rsid w:val="005B7F28"/>
    <w:rsid w:val="005C0745"/>
    <w:rsid w:val="005C0DF7"/>
    <w:rsid w:val="005C137F"/>
    <w:rsid w:val="005C182B"/>
    <w:rsid w:val="005C373A"/>
    <w:rsid w:val="005C40B9"/>
    <w:rsid w:val="005C4151"/>
    <w:rsid w:val="005C583B"/>
    <w:rsid w:val="005C7A1D"/>
    <w:rsid w:val="005D0CF3"/>
    <w:rsid w:val="005D1BFC"/>
    <w:rsid w:val="005D1C4A"/>
    <w:rsid w:val="005D24F2"/>
    <w:rsid w:val="005D4696"/>
    <w:rsid w:val="005D50B6"/>
    <w:rsid w:val="005E1428"/>
    <w:rsid w:val="005E14CF"/>
    <w:rsid w:val="005E3810"/>
    <w:rsid w:val="005E4F74"/>
    <w:rsid w:val="005E4FCD"/>
    <w:rsid w:val="005F02F0"/>
    <w:rsid w:val="005F0E6B"/>
    <w:rsid w:val="005F1097"/>
    <w:rsid w:val="005F2848"/>
    <w:rsid w:val="005F2A34"/>
    <w:rsid w:val="005F377D"/>
    <w:rsid w:val="005F4CAE"/>
    <w:rsid w:val="005F4CFE"/>
    <w:rsid w:val="005F4F2A"/>
    <w:rsid w:val="005F7148"/>
    <w:rsid w:val="005F7295"/>
    <w:rsid w:val="005F76FC"/>
    <w:rsid w:val="005F778A"/>
    <w:rsid w:val="006006F5"/>
    <w:rsid w:val="00601151"/>
    <w:rsid w:val="00601583"/>
    <w:rsid w:val="00602830"/>
    <w:rsid w:val="006039A1"/>
    <w:rsid w:val="00603C7D"/>
    <w:rsid w:val="00603D2A"/>
    <w:rsid w:val="0060426C"/>
    <w:rsid w:val="0060506F"/>
    <w:rsid w:val="006050ED"/>
    <w:rsid w:val="006055CC"/>
    <w:rsid w:val="0060591E"/>
    <w:rsid w:val="006060DE"/>
    <w:rsid w:val="00607ECC"/>
    <w:rsid w:val="00607F0F"/>
    <w:rsid w:val="00610018"/>
    <w:rsid w:val="00611661"/>
    <w:rsid w:val="00611AC0"/>
    <w:rsid w:val="00613139"/>
    <w:rsid w:val="00613896"/>
    <w:rsid w:val="00613BA0"/>
    <w:rsid w:val="00614301"/>
    <w:rsid w:val="006166F0"/>
    <w:rsid w:val="00616D01"/>
    <w:rsid w:val="0062017C"/>
    <w:rsid w:val="006230C3"/>
    <w:rsid w:val="00623B1D"/>
    <w:rsid w:val="00623FFB"/>
    <w:rsid w:val="0062533F"/>
    <w:rsid w:val="00625B09"/>
    <w:rsid w:val="0062630F"/>
    <w:rsid w:val="006265A9"/>
    <w:rsid w:val="0062706D"/>
    <w:rsid w:val="00627491"/>
    <w:rsid w:val="006312C6"/>
    <w:rsid w:val="0063262D"/>
    <w:rsid w:val="00632743"/>
    <w:rsid w:val="00632765"/>
    <w:rsid w:val="00632C7A"/>
    <w:rsid w:val="00633144"/>
    <w:rsid w:val="00633857"/>
    <w:rsid w:val="00635794"/>
    <w:rsid w:val="00637477"/>
    <w:rsid w:val="006424AF"/>
    <w:rsid w:val="006424BB"/>
    <w:rsid w:val="0064288E"/>
    <w:rsid w:val="00643F9B"/>
    <w:rsid w:val="00644795"/>
    <w:rsid w:val="00644CCA"/>
    <w:rsid w:val="00645CC5"/>
    <w:rsid w:val="00646301"/>
    <w:rsid w:val="006473CE"/>
    <w:rsid w:val="00647AB8"/>
    <w:rsid w:val="00647EF1"/>
    <w:rsid w:val="006510C6"/>
    <w:rsid w:val="006514AF"/>
    <w:rsid w:val="00652C64"/>
    <w:rsid w:val="00652D5B"/>
    <w:rsid w:val="00655AE0"/>
    <w:rsid w:val="00655B68"/>
    <w:rsid w:val="006565CC"/>
    <w:rsid w:val="00657695"/>
    <w:rsid w:val="00660A65"/>
    <w:rsid w:val="00660D10"/>
    <w:rsid w:val="00661422"/>
    <w:rsid w:val="0066157C"/>
    <w:rsid w:val="006619CC"/>
    <w:rsid w:val="00662EFA"/>
    <w:rsid w:val="00664356"/>
    <w:rsid w:val="00665562"/>
    <w:rsid w:val="006667D2"/>
    <w:rsid w:val="00667B6B"/>
    <w:rsid w:val="0067232A"/>
    <w:rsid w:val="0067234B"/>
    <w:rsid w:val="006743DF"/>
    <w:rsid w:val="006754AC"/>
    <w:rsid w:val="00682B55"/>
    <w:rsid w:val="006840AB"/>
    <w:rsid w:val="0068535B"/>
    <w:rsid w:val="006862DE"/>
    <w:rsid w:val="00687C34"/>
    <w:rsid w:val="0069043F"/>
    <w:rsid w:val="00690681"/>
    <w:rsid w:val="00690711"/>
    <w:rsid w:val="006917C5"/>
    <w:rsid w:val="00692101"/>
    <w:rsid w:val="006940B9"/>
    <w:rsid w:val="00694E87"/>
    <w:rsid w:val="00695463"/>
    <w:rsid w:val="006957EB"/>
    <w:rsid w:val="00697212"/>
    <w:rsid w:val="006A0CF5"/>
    <w:rsid w:val="006A0D7C"/>
    <w:rsid w:val="006A10A8"/>
    <w:rsid w:val="006A1366"/>
    <w:rsid w:val="006A156F"/>
    <w:rsid w:val="006A1B0E"/>
    <w:rsid w:val="006A2918"/>
    <w:rsid w:val="006A33DB"/>
    <w:rsid w:val="006A4146"/>
    <w:rsid w:val="006A49A2"/>
    <w:rsid w:val="006A5392"/>
    <w:rsid w:val="006A5790"/>
    <w:rsid w:val="006A57F1"/>
    <w:rsid w:val="006B0F67"/>
    <w:rsid w:val="006B111D"/>
    <w:rsid w:val="006B1BF3"/>
    <w:rsid w:val="006B1DDF"/>
    <w:rsid w:val="006B3A97"/>
    <w:rsid w:val="006B3CCB"/>
    <w:rsid w:val="006B657C"/>
    <w:rsid w:val="006B6A9C"/>
    <w:rsid w:val="006B7C11"/>
    <w:rsid w:val="006B7FD0"/>
    <w:rsid w:val="006C1031"/>
    <w:rsid w:val="006C1637"/>
    <w:rsid w:val="006C1F7A"/>
    <w:rsid w:val="006C4145"/>
    <w:rsid w:val="006C51A2"/>
    <w:rsid w:val="006C5301"/>
    <w:rsid w:val="006C54A5"/>
    <w:rsid w:val="006C6062"/>
    <w:rsid w:val="006D251D"/>
    <w:rsid w:val="006D3FEA"/>
    <w:rsid w:val="006D40B4"/>
    <w:rsid w:val="006D4EDC"/>
    <w:rsid w:val="006D5B37"/>
    <w:rsid w:val="006D656C"/>
    <w:rsid w:val="006E1DF7"/>
    <w:rsid w:val="006E3C26"/>
    <w:rsid w:val="006E6547"/>
    <w:rsid w:val="006E6811"/>
    <w:rsid w:val="006E6A17"/>
    <w:rsid w:val="006E6FC7"/>
    <w:rsid w:val="006F0458"/>
    <w:rsid w:val="006F07DC"/>
    <w:rsid w:val="006F1456"/>
    <w:rsid w:val="006F1560"/>
    <w:rsid w:val="006F1E9B"/>
    <w:rsid w:val="006F2A15"/>
    <w:rsid w:val="006F3EAA"/>
    <w:rsid w:val="006F4EC6"/>
    <w:rsid w:val="006F70AF"/>
    <w:rsid w:val="006F77FA"/>
    <w:rsid w:val="00700043"/>
    <w:rsid w:val="00700E9E"/>
    <w:rsid w:val="0070402E"/>
    <w:rsid w:val="00704532"/>
    <w:rsid w:val="0070464B"/>
    <w:rsid w:val="007048D6"/>
    <w:rsid w:val="007056B7"/>
    <w:rsid w:val="00707CE0"/>
    <w:rsid w:val="00711156"/>
    <w:rsid w:val="007114E3"/>
    <w:rsid w:val="0071278D"/>
    <w:rsid w:val="007136AC"/>
    <w:rsid w:val="00715096"/>
    <w:rsid w:val="007157B7"/>
    <w:rsid w:val="00716146"/>
    <w:rsid w:val="00720208"/>
    <w:rsid w:val="00720DC1"/>
    <w:rsid w:val="00723201"/>
    <w:rsid w:val="00724490"/>
    <w:rsid w:val="00725628"/>
    <w:rsid w:val="00725F27"/>
    <w:rsid w:val="00725FE5"/>
    <w:rsid w:val="007267CE"/>
    <w:rsid w:val="007278FE"/>
    <w:rsid w:val="00730C71"/>
    <w:rsid w:val="00731C36"/>
    <w:rsid w:val="00732644"/>
    <w:rsid w:val="00732775"/>
    <w:rsid w:val="00732A9D"/>
    <w:rsid w:val="0073446E"/>
    <w:rsid w:val="00737663"/>
    <w:rsid w:val="0074076B"/>
    <w:rsid w:val="007421DF"/>
    <w:rsid w:val="007428AD"/>
    <w:rsid w:val="00743C06"/>
    <w:rsid w:val="007457B0"/>
    <w:rsid w:val="00745DC0"/>
    <w:rsid w:val="0074608A"/>
    <w:rsid w:val="007464C6"/>
    <w:rsid w:val="0075120A"/>
    <w:rsid w:val="007518A4"/>
    <w:rsid w:val="007538A4"/>
    <w:rsid w:val="00753CE9"/>
    <w:rsid w:val="0075476A"/>
    <w:rsid w:val="00756AC8"/>
    <w:rsid w:val="00756C8A"/>
    <w:rsid w:val="00757905"/>
    <w:rsid w:val="00757D87"/>
    <w:rsid w:val="00761FD5"/>
    <w:rsid w:val="00762686"/>
    <w:rsid w:val="007630CF"/>
    <w:rsid w:val="00763856"/>
    <w:rsid w:val="007640A7"/>
    <w:rsid w:val="007643E2"/>
    <w:rsid w:val="00764918"/>
    <w:rsid w:val="00765644"/>
    <w:rsid w:val="00765CDC"/>
    <w:rsid w:val="00765D91"/>
    <w:rsid w:val="0076684C"/>
    <w:rsid w:val="007671BA"/>
    <w:rsid w:val="00767B25"/>
    <w:rsid w:val="00767D27"/>
    <w:rsid w:val="00770513"/>
    <w:rsid w:val="007708D5"/>
    <w:rsid w:val="00771A7F"/>
    <w:rsid w:val="00771F03"/>
    <w:rsid w:val="007724BA"/>
    <w:rsid w:val="00772FC9"/>
    <w:rsid w:val="0077322C"/>
    <w:rsid w:val="0077443A"/>
    <w:rsid w:val="00775E6B"/>
    <w:rsid w:val="00776704"/>
    <w:rsid w:val="00777036"/>
    <w:rsid w:val="00780846"/>
    <w:rsid w:val="00780BDA"/>
    <w:rsid w:val="007812F9"/>
    <w:rsid w:val="007822E1"/>
    <w:rsid w:val="00782788"/>
    <w:rsid w:val="0078402B"/>
    <w:rsid w:val="00786151"/>
    <w:rsid w:val="00786924"/>
    <w:rsid w:val="00787C25"/>
    <w:rsid w:val="007902BA"/>
    <w:rsid w:val="00790CE3"/>
    <w:rsid w:val="00791290"/>
    <w:rsid w:val="00791789"/>
    <w:rsid w:val="0079316C"/>
    <w:rsid w:val="007936A2"/>
    <w:rsid w:val="00793F66"/>
    <w:rsid w:val="0079481D"/>
    <w:rsid w:val="00794A57"/>
    <w:rsid w:val="00794C9C"/>
    <w:rsid w:val="00795059"/>
    <w:rsid w:val="00796230"/>
    <w:rsid w:val="007A1700"/>
    <w:rsid w:val="007A21B5"/>
    <w:rsid w:val="007A22DF"/>
    <w:rsid w:val="007A2601"/>
    <w:rsid w:val="007A29F6"/>
    <w:rsid w:val="007A2D0E"/>
    <w:rsid w:val="007A4B11"/>
    <w:rsid w:val="007A4D3B"/>
    <w:rsid w:val="007A52FD"/>
    <w:rsid w:val="007A6A36"/>
    <w:rsid w:val="007B0F1D"/>
    <w:rsid w:val="007B1AC6"/>
    <w:rsid w:val="007B2FA1"/>
    <w:rsid w:val="007B36E8"/>
    <w:rsid w:val="007B4F75"/>
    <w:rsid w:val="007B6132"/>
    <w:rsid w:val="007B7C74"/>
    <w:rsid w:val="007C0910"/>
    <w:rsid w:val="007C14FD"/>
    <w:rsid w:val="007C1A92"/>
    <w:rsid w:val="007C261B"/>
    <w:rsid w:val="007C264B"/>
    <w:rsid w:val="007C3F9C"/>
    <w:rsid w:val="007C52C5"/>
    <w:rsid w:val="007C67A5"/>
    <w:rsid w:val="007C76E3"/>
    <w:rsid w:val="007C7765"/>
    <w:rsid w:val="007C7A02"/>
    <w:rsid w:val="007D1785"/>
    <w:rsid w:val="007D20D0"/>
    <w:rsid w:val="007D22AA"/>
    <w:rsid w:val="007D3A37"/>
    <w:rsid w:val="007D4CDD"/>
    <w:rsid w:val="007D587D"/>
    <w:rsid w:val="007D59DD"/>
    <w:rsid w:val="007D5C48"/>
    <w:rsid w:val="007D6871"/>
    <w:rsid w:val="007D6AFB"/>
    <w:rsid w:val="007D70EC"/>
    <w:rsid w:val="007E009B"/>
    <w:rsid w:val="007E182E"/>
    <w:rsid w:val="007E1EAB"/>
    <w:rsid w:val="007E2F57"/>
    <w:rsid w:val="007E3CA1"/>
    <w:rsid w:val="007E4161"/>
    <w:rsid w:val="007E4DF7"/>
    <w:rsid w:val="007E5648"/>
    <w:rsid w:val="007E638E"/>
    <w:rsid w:val="007F0B48"/>
    <w:rsid w:val="007F1F2A"/>
    <w:rsid w:val="007F2236"/>
    <w:rsid w:val="007F7617"/>
    <w:rsid w:val="007F7DF1"/>
    <w:rsid w:val="007F7EEA"/>
    <w:rsid w:val="008022E6"/>
    <w:rsid w:val="008033A0"/>
    <w:rsid w:val="00804614"/>
    <w:rsid w:val="00807055"/>
    <w:rsid w:val="00807911"/>
    <w:rsid w:val="00811056"/>
    <w:rsid w:val="00813DCC"/>
    <w:rsid w:val="00815B80"/>
    <w:rsid w:val="008168DE"/>
    <w:rsid w:val="00817CD2"/>
    <w:rsid w:val="00817F81"/>
    <w:rsid w:val="008214ED"/>
    <w:rsid w:val="00822346"/>
    <w:rsid w:val="00822922"/>
    <w:rsid w:val="00823081"/>
    <w:rsid w:val="00823B94"/>
    <w:rsid w:val="00824CA1"/>
    <w:rsid w:val="0082527D"/>
    <w:rsid w:val="00826A72"/>
    <w:rsid w:val="00826CDC"/>
    <w:rsid w:val="00827B4B"/>
    <w:rsid w:val="00827E93"/>
    <w:rsid w:val="00830B7F"/>
    <w:rsid w:val="008318F7"/>
    <w:rsid w:val="00831A26"/>
    <w:rsid w:val="008336C4"/>
    <w:rsid w:val="008342D9"/>
    <w:rsid w:val="00834363"/>
    <w:rsid w:val="00834402"/>
    <w:rsid w:val="00835982"/>
    <w:rsid w:val="00835DA1"/>
    <w:rsid w:val="008363F8"/>
    <w:rsid w:val="008400E5"/>
    <w:rsid w:val="00841D49"/>
    <w:rsid w:val="00842C67"/>
    <w:rsid w:val="00844126"/>
    <w:rsid w:val="0084415A"/>
    <w:rsid w:val="008447E9"/>
    <w:rsid w:val="00845D42"/>
    <w:rsid w:val="00845E26"/>
    <w:rsid w:val="0084613D"/>
    <w:rsid w:val="00846B37"/>
    <w:rsid w:val="00846F29"/>
    <w:rsid w:val="00847D90"/>
    <w:rsid w:val="0085030C"/>
    <w:rsid w:val="00851087"/>
    <w:rsid w:val="0085332D"/>
    <w:rsid w:val="00854050"/>
    <w:rsid w:val="008545C6"/>
    <w:rsid w:val="008569E9"/>
    <w:rsid w:val="00856FA2"/>
    <w:rsid w:val="0085700E"/>
    <w:rsid w:val="00860799"/>
    <w:rsid w:val="00860D29"/>
    <w:rsid w:val="00863AFB"/>
    <w:rsid w:val="008644CC"/>
    <w:rsid w:val="0086491D"/>
    <w:rsid w:val="00864DC5"/>
    <w:rsid w:val="008659AF"/>
    <w:rsid w:val="00867317"/>
    <w:rsid w:val="00867606"/>
    <w:rsid w:val="00874FD6"/>
    <w:rsid w:val="0087505D"/>
    <w:rsid w:val="00876BB6"/>
    <w:rsid w:val="00876BFF"/>
    <w:rsid w:val="008773BD"/>
    <w:rsid w:val="00877868"/>
    <w:rsid w:val="00877EE0"/>
    <w:rsid w:val="008800A3"/>
    <w:rsid w:val="00882379"/>
    <w:rsid w:val="00882E2C"/>
    <w:rsid w:val="00885453"/>
    <w:rsid w:val="0088551E"/>
    <w:rsid w:val="008865A0"/>
    <w:rsid w:val="00886D3B"/>
    <w:rsid w:val="008906BA"/>
    <w:rsid w:val="008909DD"/>
    <w:rsid w:val="00890BEC"/>
    <w:rsid w:val="008918A0"/>
    <w:rsid w:val="00892656"/>
    <w:rsid w:val="00893070"/>
    <w:rsid w:val="00893F2C"/>
    <w:rsid w:val="008945CC"/>
    <w:rsid w:val="00895106"/>
    <w:rsid w:val="008A0891"/>
    <w:rsid w:val="008A1123"/>
    <w:rsid w:val="008A1311"/>
    <w:rsid w:val="008A19E0"/>
    <w:rsid w:val="008A2487"/>
    <w:rsid w:val="008A2E4B"/>
    <w:rsid w:val="008A32F7"/>
    <w:rsid w:val="008A5197"/>
    <w:rsid w:val="008A69A0"/>
    <w:rsid w:val="008A6E28"/>
    <w:rsid w:val="008B01AF"/>
    <w:rsid w:val="008B1A5B"/>
    <w:rsid w:val="008B256E"/>
    <w:rsid w:val="008B348B"/>
    <w:rsid w:val="008B35E7"/>
    <w:rsid w:val="008B3681"/>
    <w:rsid w:val="008B386D"/>
    <w:rsid w:val="008B426A"/>
    <w:rsid w:val="008B4DF2"/>
    <w:rsid w:val="008B5E7E"/>
    <w:rsid w:val="008B5F7A"/>
    <w:rsid w:val="008B61CE"/>
    <w:rsid w:val="008B6F3C"/>
    <w:rsid w:val="008B7366"/>
    <w:rsid w:val="008C03BE"/>
    <w:rsid w:val="008C0578"/>
    <w:rsid w:val="008C07CD"/>
    <w:rsid w:val="008C0865"/>
    <w:rsid w:val="008C119F"/>
    <w:rsid w:val="008C130B"/>
    <w:rsid w:val="008C2619"/>
    <w:rsid w:val="008C41A0"/>
    <w:rsid w:val="008C4A57"/>
    <w:rsid w:val="008C4ECA"/>
    <w:rsid w:val="008C51F3"/>
    <w:rsid w:val="008C58E5"/>
    <w:rsid w:val="008C63B1"/>
    <w:rsid w:val="008C6928"/>
    <w:rsid w:val="008C6E6F"/>
    <w:rsid w:val="008C7291"/>
    <w:rsid w:val="008D1CF8"/>
    <w:rsid w:val="008D24B6"/>
    <w:rsid w:val="008D3D7C"/>
    <w:rsid w:val="008D4979"/>
    <w:rsid w:val="008D5013"/>
    <w:rsid w:val="008E0198"/>
    <w:rsid w:val="008E118A"/>
    <w:rsid w:val="008E121C"/>
    <w:rsid w:val="008E15E4"/>
    <w:rsid w:val="008E1AA1"/>
    <w:rsid w:val="008E28F0"/>
    <w:rsid w:val="008E2DFF"/>
    <w:rsid w:val="008E345E"/>
    <w:rsid w:val="008E3A88"/>
    <w:rsid w:val="008E4004"/>
    <w:rsid w:val="008E5018"/>
    <w:rsid w:val="008E53C0"/>
    <w:rsid w:val="008E60C4"/>
    <w:rsid w:val="008E6747"/>
    <w:rsid w:val="008F10E2"/>
    <w:rsid w:val="008F17F5"/>
    <w:rsid w:val="008F23F9"/>
    <w:rsid w:val="008F2DA4"/>
    <w:rsid w:val="008F3607"/>
    <w:rsid w:val="008F6796"/>
    <w:rsid w:val="008F743C"/>
    <w:rsid w:val="008F7CA4"/>
    <w:rsid w:val="008F7DC4"/>
    <w:rsid w:val="00900173"/>
    <w:rsid w:val="009001C7"/>
    <w:rsid w:val="00900F70"/>
    <w:rsid w:val="0090187D"/>
    <w:rsid w:val="0090193C"/>
    <w:rsid w:val="00901C63"/>
    <w:rsid w:val="00901DDE"/>
    <w:rsid w:val="00901EE3"/>
    <w:rsid w:val="0090372A"/>
    <w:rsid w:val="00903B28"/>
    <w:rsid w:val="0090613D"/>
    <w:rsid w:val="009065CE"/>
    <w:rsid w:val="00907769"/>
    <w:rsid w:val="00907AB9"/>
    <w:rsid w:val="00910F40"/>
    <w:rsid w:val="00911C00"/>
    <w:rsid w:val="00912C4E"/>
    <w:rsid w:val="00916A83"/>
    <w:rsid w:val="009173D5"/>
    <w:rsid w:val="00917B09"/>
    <w:rsid w:val="00917CFA"/>
    <w:rsid w:val="00917E59"/>
    <w:rsid w:val="00921F07"/>
    <w:rsid w:val="00922371"/>
    <w:rsid w:val="009230AB"/>
    <w:rsid w:val="009244B4"/>
    <w:rsid w:val="009247BF"/>
    <w:rsid w:val="00925071"/>
    <w:rsid w:val="00925311"/>
    <w:rsid w:val="009255C3"/>
    <w:rsid w:val="00925F7A"/>
    <w:rsid w:val="00927276"/>
    <w:rsid w:val="009329BB"/>
    <w:rsid w:val="00933454"/>
    <w:rsid w:val="00933DC9"/>
    <w:rsid w:val="009345DE"/>
    <w:rsid w:val="0093587C"/>
    <w:rsid w:val="00936301"/>
    <w:rsid w:val="00936800"/>
    <w:rsid w:val="00937326"/>
    <w:rsid w:val="009376C6"/>
    <w:rsid w:val="00937970"/>
    <w:rsid w:val="00937F2D"/>
    <w:rsid w:val="009401ED"/>
    <w:rsid w:val="009402FF"/>
    <w:rsid w:val="009409A7"/>
    <w:rsid w:val="00940F8C"/>
    <w:rsid w:val="00944F6B"/>
    <w:rsid w:val="00945B3E"/>
    <w:rsid w:val="00945E88"/>
    <w:rsid w:val="009462A4"/>
    <w:rsid w:val="00946D57"/>
    <w:rsid w:val="00947D9C"/>
    <w:rsid w:val="00950301"/>
    <w:rsid w:val="009516A5"/>
    <w:rsid w:val="009518B6"/>
    <w:rsid w:val="0095241D"/>
    <w:rsid w:val="00953509"/>
    <w:rsid w:val="00953614"/>
    <w:rsid w:val="0095363E"/>
    <w:rsid w:val="0095406E"/>
    <w:rsid w:val="00956713"/>
    <w:rsid w:val="00960D66"/>
    <w:rsid w:val="00960E9F"/>
    <w:rsid w:val="00960FEB"/>
    <w:rsid w:val="0096217C"/>
    <w:rsid w:val="00963020"/>
    <w:rsid w:val="009636D1"/>
    <w:rsid w:val="00965F59"/>
    <w:rsid w:val="0096680A"/>
    <w:rsid w:val="009670CB"/>
    <w:rsid w:val="009715EF"/>
    <w:rsid w:val="00972CB7"/>
    <w:rsid w:val="0097336A"/>
    <w:rsid w:val="00973C5B"/>
    <w:rsid w:val="00974204"/>
    <w:rsid w:val="0097431C"/>
    <w:rsid w:val="00974D9A"/>
    <w:rsid w:val="009757CF"/>
    <w:rsid w:val="00977233"/>
    <w:rsid w:val="00977475"/>
    <w:rsid w:val="00977D49"/>
    <w:rsid w:val="00980B1D"/>
    <w:rsid w:val="0098325D"/>
    <w:rsid w:val="009840C8"/>
    <w:rsid w:val="009848B8"/>
    <w:rsid w:val="00984C9D"/>
    <w:rsid w:val="009870B9"/>
    <w:rsid w:val="00987B4D"/>
    <w:rsid w:val="00987F55"/>
    <w:rsid w:val="0099067C"/>
    <w:rsid w:val="00991684"/>
    <w:rsid w:val="00991D48"/>
    <w:rsid w:val="009922CA"/>
    <w:rsid w:val="00992464"/>
    <w:rsid w:val="0099247F"/>
    <w:rsid w:val="009938CC"/>
    <w:rsid w:val="00993A82"/>
    <w:rsid w:val="009947A6"/>
    <w:rsid w:val="0099727F"/>
    <w:rsid w:val="00997C69"/>
    <w:rsid w:val="009A168F"/>
    <w:rsid w:val="009A2C9A"/>
    <w:rsid w:val="009A3E65"/>
    <w:rsid w:val="009A3F13"/>
    <w:rsid w:val="009A6A12"/>
    <w:rsid w:val="009A6E0E"/>
    <w:rsid w:val="009A7AE2"/>
    <w:rsid w:val="009A7C6C"/>
    <w:rsid w:val="009B013B"/>
    <w:rsid w:val="009B147D"/>
    <w:rsid w:val="009B2886"/>
    <w:rsid w:val="009B2E53"/>
    <w:rsid w:val="009B36EC"/>
    <w:rsid w:val="009B57BD"/>
    <w:rsid w:val="009B67D4"/>
    <w:rsid w:val="009B7344"/>
    <w:rsid w:val="009C02AD"/>
    <w:rsid w:val="009C033C"/>
    <w:rsid w:val="009C1585"/>
    <w:rsid w:val="009C1611"/>
    <w:rsid w:val="009C1BCB"/>
    <w:rsid w:val="009C203D"/>
    <w:rsid w:val="009C29B0"/>
    <w:rsid w:val="009C37B5"/>
    <w:rsid w:val="009D00DA"/>
    <w:rsid w:val="009D05D4"/>
    <w:rsid w:val="009D1154"/>
    <w:rsid w:val="009D2B18"/>
    <w:rsid w:val="009D30EB"/>
    <w:rsid w:val="009D389D"/>
    <w:rsid w:val="009D3A33"/>
    <w:rsid w:val="009D3BC4"/>
    <w:rsid w:val="009D5218"/>
    <w:rsid w:val="009D7392"/>
    <w:rsid w:val="009D792E"/>
    <w:rsid w:val="009D7AED"/>
    <w:rsid w:val="009D7F1D"/>
    <w:rsid w:val="009E18B4"/>
    <w:rsid w:val="009E3A9A"/>
    <w:rsid w:val="009E5ED6"/>
    <w:rsid w:val="009F0014"/>
    <w:rsid w:val="009F01FD"/>
    <w:rsid w:val="009F0E07"/>
    <w:rsid w:val="009F1805"/>
    <w:rsid w:val="009F1BCA"/>
    <w:rsid w:val="009F2E7C"/>
    <w:rsid w:val="009F42DA"/>
    <w:rsid w:val="009F5042"/>
    <w:rsid w:val="009F709B"/>
    <w:rsid w:val="00A03A20"/>
    <w:rsid w:val="00A0602F"/>
    <w:rsid w:val="00A064AA"/>
    <w:rsid w:val="00A069AB"/>
    <w:rsid w:val="00A075EA"/>
    <w:rsid w:val="00A077FC"/>
    <w:rsid w:val="00A07861"/>
    <w:rsid w:val="00A106BD"/>
    <w:rsid w:val="00A1088F"/>
    <w:rsid w:val="00A10A91"/>
    <w:rsid w:val="00A11402"/>
    <w:rsid w:val="00A11A58"/>
    <w:rsid w:val="00A122BD"/>
    <w:rsid w:val="00A13E95"/>
    <w:rsid w:val="00A13FE4"/>
    <w:rsid w:val="00A14569"/>
    <w:rsid w:val="00A14572"/>
    <w:rsid w:val="00A1487E"/>
    <w:rsid w:val="00A14BE6"/>
    <w:rsid w:val="00A15F12"/>
    <w:rsid w:val="00A1645B"/>
    <w:rsid w:val="00A16A15"/>
    <w:rsid w:val="00A176E6"/>
    <w:rsid w:val="00A209D8"/>
    <w:rsid w:val="00A20ADB"/>
    <w:rsid w:val="00A21362"/>
    <w:rsid w:val="00A22A16"/>
    <w:rsid w:val="00A22CAC"/>
    <w:rsid w:val="00A23F5B"/>
    <w:rsid w:val="00A25318"/>
    <w:rsid w:val="00A25503"/>
    <w:rsid w:val="00A27EFF"/>
    <w:rsid w:val="00A31889"/>
    <w:rsid w:val="00A35F4D"/>
    <w:rsid w:val="00A3652D"/>
    <w:rsid w:val="00A37CED"/>
    <w:rsid w:val="00A411DE"/>
    <w:rsid w:val="00A41761"/>
    <w:rsid w:val="00A41F51"/>
    <w:rsid w:val="00A42F88"/>
    <w:rsid w:val="00A4358C"/>
    <w:rsid w:val="00A445F5"/>
    <w:rsid w:val="00A47986"/>
    <w:rsid w:val="00A5203C"/>
    <w:rsid w:val="00A54067"/>
    <w:rsid w:val="00A54B9B"/>
    <w:rsid w:val="00A55832"/>
    <w:rsid w:val="00A566FF"/>
    <w:rsid w:val="00A5709A"/>
    <w:rsid w:val="00A57131"/>
    <w:rsid w:val="00A577B3"/>
    <w:rsid w:val="00A60639"/>
    <w:rsid w:val="00A61520"/>
    <w:rsid w:val="00A6315E"/>
    <w:rsid w:val="00A63826"/>
    <w:rsid w:val="00A638FE"/>
    <w:rsid w:val="00A63A99"/>
    <w:rsid w:val="00A65344"/>
    <w:rsid w:val="00A6671F"/>
    <w:rsid w:val="00A673F7"/>
    <w:rsid w:val="00A700D5"/>
    <w:rsid w:val="00A7088A"/>
    <w:rsid w:val="00A719EC"/>
    <w:rsid w:val="00A73E2F"/>
    <w:rsid w:val="00A74716"/>
    <w:rsid w:val="00A804B9"/>
    <w:rsid w:val="00A81424"/>
    <w:rsid w:val="00A81A84"/>
    <w:rsid w:val="00A82197"/>
    <w:rsid w:val="00A8340D"/>
    <w:rsid w:val="00A8365C"/>
    <w:rsid w:val="00A84081"/>
    <w:rsid w:val="00A848F6"/>
    <w:rsid w:val="00A84D2F"/>
    <w:rsid w:val="00A85A14"/>
    <w:rsid w:val="00A863B6"/>
    <w:rsid w:val="00A8655E"/>
    <w:rsid w:val="00A87AF7"/>
    <w:rsid w:val="00A90027"/>
    <w:rsid w:val="00A90EDC"/>
    <w:rsid w:val="00A91E3D"/>
    <w:rsid w:val="00A95F2B"/>
    <w:rsid w:val="00A96957"/>
    <w:rsid w:val="00A97304"/>
    <w:rsid w:val="00A97BAA"/>
    <w:rsid w:val="00A97C7D"/>
    <w:rsid w:val="00AA059A"/>
    <w:rsid w:val="00AA070D"/>
    <w:rsid w:val="00AA07B3"/>
    <w:rsid w:val="00AA1009"/>
    <w:rsid w:val="00AA4476"/>
    <w:rsid w:val="00AA5D7E"/>
    <w:rsid w:val="00AA5EC6"/>
    <w:rsid w:val="00AA5EE5"/>
    <w:rsid w:val="00AA63A3"/>
    <w:rsid w:val="00AA677F"/>
    <w:rsid w:val="00AA79E6"/>
    <w:rsid w:val="00AB02F9"/>
    <w:rsid w:val="00AB0305"/>
    <w:rsid w:val="00AB133C"/>
    <w:rsid w:val="00AB4048"/>
    <w:rsid w:val="00AB4D21"/>
    <w:rsid w:val="00AB53FE"/>
    <w:rsid w:val="00AC09CE"/>
    <w:rsid w:val="00AC1C3A"/>
    <w:rsid w:val="00AC22BB"/>
    <w:rsid w:val="00AC2EDF"/>
    <w:rsid w:val="00AC3050"/>
    <w:rsid w:val="00AC318C"/>
    <w:rsid w:val="00AC3D57"/>
    <w:rsid w:val="00AC4BE8"/>
    <w:rsid w:val="00AC523D"/>
    <w:rsid w:val="00AC6256"/>
    <w:rsid w:val="00AD1461"/>
    <w:rsid w:val="00AD16AC"/>
    <w:rsid w:val="00AD1957"/>
    <w:rsid w:val="00AD1D1C"/>
    <w:rsid w:val="00AD23CF"/>
    <w:rsid w:val="00AD2FDD"/>
    <w:rsid w:val="00AD3E67"/>
    <w:rsid w:val="00AD5D21"/>
    <w:rsid w:val="00AD679C"/>
    <w:rsid w:val="00AD6D33"/>
    <w:rsid w:val="00AD6DFA"/>
    <w:rsid w:val="00AE0288"/>
    <w:rsid w:val="00AE071D"/>
    <w:rsid w:val="00AE0C5E"/>
    <w:rsid w:val="00AE2FA2"/>
    <w:rsid w:val="00AE35EA"/>
    <w:rsid w:val="00AE49BA"/>
    <w:rsid w:val="00AE5753"/>
    <w:rsid w:val="00AF0274"/>
    <w:rsid w:val="00AF0CDD"/>
    <w:rsid w:val="00AF169F"/>
    <w:rsid w:val="00AF2A21"/>
    <w:rsid w:val="00AF3888"/>
    <w:rsid w:val="00AF4228"/>
    <w:rsid w:val="00AF4F7F"/>
    <w:rsid w:val="00AF5549"/>
    <w:rsid w:val="00AF5824"/>
    <w:rsid w:val="00AF5999"/>
    <w:rsid w:val="00B000E2"/>
    <w:rsid w:val="00B00DB1"/>
    <w:rsid w:val="00B01408"/>
    <w:rsid w:val="00B01513"/>
    <w:rsid w:val="00B02552"/>
    <w:rsid w:val="00B02A5C"/>
    <w:rsid w:val="00B033C3"/>
    <w:rsid w:val="00B05944"/>
    <w:rsid w:val="00B067FD"/>
    <w:rsid w:val="00B075F7"/>
    <w:rsid w:val="00B07880"/>
    <w:rsid w:val="00B10FF6"/>
    <w:rsid w:val="00B12687"/>
    <w:rsid w:val="00B12B8C"/>
    <w:rsid w:val="00B13046"/>
    <w:rsid w:val="00B1770F"/>
    <w:rsid w:val="00B17798"/>
    <w:rsid w:val="00B2010E"/>
    <w:rsid w:val="00B2064D"/>
    <w:rsid w:val="00B21509"/>
    <w:rsid w:val="00B21778"/>
    <w:rsid w:val="00B23B82"/>
    <w:rsid w:val="00B242FE"/>
    <w:rsid w:val="00B24AD5"/>
    <w:rsid w:val="00B2568C"/>
    <w:rsid w:val="00B256F1"/>
    <w:rsid w:val="00B259C7"/>
    <w:rsid w:val="00B25B19"/>
    <w:rsid w:val="00B2655C"/>
    <w:rsid w:val="00B266FD"/>
    <w:rsid w:val="00B26C16"/>
    <w:rsid w:val="00B27AD1"/>
    <w:rsid w:val="00B27E6A"/>
    <w:rsid w:val="00B31062"/>
    <w:rsid w:val="00B3259D"/>
    <w:rsid w:val="00B327EA"/>
    <w:rsid w:val="00B32802"/>
    <w:rsid w:val="00B34688"/>
    <w:rsid w:val="00B34A64"/>
    <w:rsid w:val="00B36510"/>
    <w:rsid w:val="00B36A3E"/>
    <w:rsid w:val="00B372D2"/>
    <w:rsid w:val="00B379A8"/>
    <w:rsid w:val="00B37B88"/>
    <w:rsid w:val="00B40516"/>
    <w:rsid w:val="00B405EC"/>
    <w:rsid w:val="00B408B7"/>
    <w:rsid w:val="00B416A5"/>
    <w:rsid w:val="00B41F39"/>
    <w:rsid w:val="00B42371"/>
    <w:rsid w:val="00B43103"/>
    <w:rsid w:val="00B43617"/>
    <w:rsid w:val="00B4379D"/>
    <w:rsid w:val="00B44357"/>
    <w:rsid w:val="00B50C67"/>
    <w:rsid w:val="00B51A34"/>
    <w:rsid w:val="00B51E9F"/>
    <w:rsid w:val="00B52372"/>
    <w:rsid w:val="00B52728"/>
    <w:rsid w:val="00B53741"/>
    <w:rsid w:val="00B545A3"/>
    <w:rsid w:val="00B54F6E"/>
    <w:rsid w:val="00B5508A"/>
    <w:rsid w:val="00B551B4"/>
    <w:rsid w:val="00B562E3"/>
    <w:rsid w:val="00B5666F"/>
    <w:rsid w:val="00B56E0B"/>
    <w:rsid w:val="00B572E8"/>
    <w:rsid w:val="00B5785B"/>
    <w:rsid w:val="00B60A93"/>
    <w:rsid w:val="00B62E58"/>
    <w:rsid w:val="00B63419"/>
    <w:rsid w:val="00B63AE3"/>
    <w:rsid w:val="00B63B00"/>
    <w:rsid w:val="00B63D23"/>
    <w:rsid w:val="00B6568D"/>
    <w:rsid w:val="00B65854"/>
    <w:rsid w:val="00B65BC2"/>
    <w:rsid w:val="00B665BF"/>
    <w:rsid w:val="00B669AD"/>
    <w:rsid w:val="00B677DC"/>
    <w:rsid w:val="00B67F6D"/>
    <w:rsid w:val="00B70F09"/>
    <w:rsid w:val="00B72115"/>
    <w:rsid w:val="00B72E00"/>
    <w:rsid w:val="00B731B8"/>
    <w:rsid w:val="00B733AA"/>
    <w:rsid w:val="00B746FE"/>
    <w:rsid w:val="00B75482"/>
    <w:rsid w:val="00B75528"/>
    <w:rsid w:val="00B75E08"/>
    <w:rsid w:val="00B76A6A"/>
    <w:rsid w:val="00B80114"/>
    <w:rsid w:val="00B802D7"/>
    <w:rsid w:val="00B81F42"/>
    <w:rsid w:val="00B82299"/>
    <w:rsid w:val="00B83288"/>
    <w:rsid w:val="00B832DC"/>
    <w:rsid w:val="00B840BF"/>
    <w:rsid w:val="00B84888"/>
    <w:rsid w:val="00B854A3"/>
    <w:rsid w:val="00B85E3E"/>
    <w:rsid w:val="00B87CCE"/>
    <w:rsid w:val="00B90C0C"/>
    <w:rsid w:val="00B9139B"/>
    <w:rsid w:val="00B91A10"/>
    <w:rsid w:val="00B928BD"/>
    <w:rsid w:val="00B94DF9"/>
    <w:rsid w:val="00B96000"/>
    <w:rsid w:val="00B96724"/>
    <w:rsid w:val="00BA15EA"/>
    <w:rsid w:val="00BA2120"/>
    <w:rsid w:val="00BA3E98"/>
    <w:rsid w:val="00BA3FFB"/>
    <w:rsid w:val="00BA4062"/>
    <w:rsid w:val="00BA48CD"/>
    <w:rsid w:val="00BA4E08"/>
    <w:rsid w:val="00BA5E13"/>
    <w:rsid w:val="00BA78BB"/>
    <w:rsid w:val="00BB0462"/>
    <w:rsid w:val="00BB0917"/>
    <w:rsid w:val="00BB279B"/>
    <w:rsid w:val="00BB2BC4"/>
    <w:rsid w:val="00BB3578"/>
    <w:rsid w:val="00BB4B7E"/>
    <w:rsid w:val="00BB5441"/>
    <w:rsid w:val="00BB5FCD"/>
    <w:rsid w:val="00BB68A0"/>
    <w:rsid w:val="00BB7913"/>
    <w:rsid w:val="00BC1DF1"/>
    <w:rsid w:val="00BC1F11"/>
    <w:rsid w:val="00BC2558"/>
    <w:rsid w:val="00BC29B4"/>
    <w:rsid w:val="00BC2C95"/>
    <w:rsid w:val="00BC316C"/>
    <w:rsid w:val="00BC3C71"/>
    <w:rsid w:val="00BC404D"/>
    <w:rsid w:val="00BC4186"/>
    <w:rsid w:val="00BC55A2"/>
    <w:rsid w:val="00BC7064"/>
    <w:rsid w:val="00BD07AB"/>
    <w:rsid w:val="00BD1677"/>
    <w:rsid w:val="00BD1DED"/>
    <w:rsid w:val="00BD2D40"/>
    <w:rsid w:val="00BD6F3E"/>
    <w:rsid w:val="00BD70A3"/>
    <w:rsid w:val="00BD7579"/>
    <w:rsid w:val="00BE2A80"/>
    <w:rsid w:val="00BE2ECD"/>
    <w:rsid w:val="00BE5A7B"/>
    <w:rsid w:val="00BE5DBB"/>
    <w:rsid w:val="00BE5F8C"/>
    <w:rsid w:val="00BE646A"/>
    <w:rsid w:val="00BE656E"/>
    <w:rsid w:val="00BE7B53"/>
    <w:rsid w:val="00BF09BC"/>
    <w:rsid w:val="00BF0F31"/>
    <w:rsid w:val="00BF19E7"/>
    <w:rsid w:val="00BF20B0"/>
    <w:rsid w:val="00BF246E"/>
    <w:rsid w:val="00BF29E8"/>
    <w:rsid w:val="00BF2C27"/>
    <w:rsid w:val="00BF4453"/>
    <w:rsid w:val="00BF4DD3"/>
    <w:rsid w:val="00BF5C04"/>
    <w:rsid w:val="00BF65F7"/>
    <w:rsid w:val="00BF68F5"/>
    <w:rsid w:val="00C00C7F"/>
    <w:rsid w:val="00C01D45"/>
    <w:rsid w:val="00C02596"/>
    <w:rsid w:val="00C038A2"/>
    <w:rsid w:val="00C0615E"/>
    <w:rsid w:val="00C06246"/>
    <w:rsid w:val="00C063F6"/>
    <w:rsid w:val="00C06DA4"/>
    <w:rsid w:val="00C06F19"/>
    <w:rsid w:val="00C07552"/>
    <w:rsid w:val="00C07C3B"/>
    <w:rsid w:val="00C1143E"/>
    <w:rsid w:val="00C14F17"/>
    <w:rsid w:val="00C1556A"/>
    <w:rsid w:val="00C165BA"/>
    <w:rsid w:val="00C1763E"/>
    <w:rsid w:val="00C17B87"/>
    <w:rsid w:val="00C20170"/>
    <w:rsid w:val="00C216CA"/>
    <w:rsid w:val="00C23BE9"/>
    <w:rsid w:val="00C241C7"/>
    <w:rsid w:val="00C248F5"/>
    <w:rsid w:val="00C25967"/>
    <w:rsid w:val="00C259FF"/>
    <w:rsid w:val="00C26B24"/>
    <w:rsid w:val="00C30CEE"/>
    <w:rsid w:val="00C338F0"/>
    <w:rsid w:val="00C33E6C"/>
    <w:rsid w:val="00C35A44"/>
    <w:rsid w:val="00C3692E"/>
    <w:rsid w:val="00C409B0"/>
    <w:rsid w:val="00C41095"/>
    <w:rsid w:val="00C441AC"/>
    <w:rsid w:val="00C4505C"/>
    <w:rsid w:val="00C452C3"/>
    <w:rsid w:val="00C45797"/>
    <w:rsid w:val="00C457A9"/>
    <w:rsid w:val="00C45FFE"/>
    <w:rsid w:val="00C464C0"/>
    <w:rsid w:val="00C522DD"/>
    <w:rsid w:val="00C52B1D"/>
    <w:rsid w:val="00C531A9"/>
    <w:rsid w:val="00C53AF8"/>
    <w:rsid w:val="00C53DA5"/>
    <w:rsid w:val="00C544C3"/>
    <w:rsid w:val="00C54639"/>
    <w:rsid w:val="00C546F4"/>
    <w:rsid w:val="00C54795"/>
    <w:rsid w:val="00C55B9E"/>
    <w:rsid w:val="00C57203"/>
    <w:rsid w:val="00C57D79"/>
    <w:rsid w:val="00C60633"/>
    <w:rsid w:val="00C62419"/>
    <w:rsid w:val="00C63EE3"/>
    <w:rsid w:val="00C644F3"/>
    <w:rsid w:val="00C65A0F"/>
    <w:rsid w:val="00C65BA0"/>
    <w:rsid w:val="00C6633E"/>
    <w:rsid w:val="00C703A5"/>
    <w:rsid w:val="00C70962"/>
    <w:rsid w:val="00C71903"/>
    <w:rsid w:val="00C74A34"/>
    <w:rsid w:val="00C75CB9"/>
    <w:rsid w:val="00C7707F"/>
    <w:rsid w:val="00C7710E"/>
    <w:rsid w:val="00C772F9"/>
    <w:rsid w:val="00C77B13"/>
    <w:rsid w:val="00C80242"/>
    <w:rsid w:val="00C81B32"/>
    <w:rsid w:val="00C826DE"/>
    <w:rsid w:val="00C82875"/>
    <w:rsid w:val="00C8339A"/>
    <w:rsid w:val="00C83801"/>
    <w:rsid w:val="00C8397A"/>
    <w:rsid w:val="00C85247"/>
    <w:rsid w:val="00C85CF1"/>
    <w:rsid w:val="00C86F87"/>
    <w:rsid w:val="00C87CAC"/>
    <w:rsid w:val="00C909A4"/>
    <w:rsid w:val="00C935EB"/>
    <w:rsid w:val="00C936E5"/>
    <w:rsid w:val="00C9416C"/>
    <w:rsid w:val="00C942A2"/>
    <w:rsid w:val="00C956FE"/>
    <w:rsid w:val="00C9625A"/>
    <w:rsid w:val="00C9680A"/>
    <w:rsid w:val="00C974B6"/>
    <w:rsid w:val="00CA05A0"/>
    <w:rsid w:val="00CA0803"/>
    <w:rsid w:val="00CA1280"/>
    <w:rsid w:val="00CA1892"/>
    <w:rsid w:val="00CA6159"/>
    <w:rsid w:val="00CA7AAF"/>
    <w:rsid w:val="00CB114D"/>
    <w:rsid w:val="00CB1D92"/>
    <w:rsid w:val="00CB1DDA"/>
    <w:rsid w:val="00CB2E9F"/>
    <w:rsid w:val="00CB309A"/>
    <w:rsid w:val="00CB3D6B"/>
    <w:rsid w:val="00CB45CB"/>
    <w:rsid w:val="00CB5581"/>
    <w:rsid w:val="00CB589C"/>
    <w:rsid w:val="00CB60DF"/>
    <w:rsid w:val="00CB6EE7"/>
    <w:rsid w:val="00CC112E"/>
    <w:rsid w:val="00CC1A2D"/>
    <w:rsid w:val="00CC33A4"/>
    <w:rsid w:val="00CC35B1"/>
    <w:rsid w:val="00CC480D"/>
    <w:rsid w:val="00CC49EE"/>
    <w:rsid w:val="00CC4F43"/>
    <w:rsid w:val="00CC7945"/>
    <w:rsid w:val="00CC7AEE"/>
    <w:rsid w:val="00CD11A1"/>
    <w:rsid w:val="00CD2B72"/>
    <w:rsid w:val="00CD3205"/>
    <w:rsid w:val="00CD37FB"/>
    <w:rsid w:val="00CD59BA"/>
    <w:rsid w:val="00CD5B6E"/>
    <w:rsid w:val="00CD6354"/>
    <w:rsid w:val="00CD68A4"/>
    <w:rsid w:val="00CD7F85"/>
    <w:rsid w:val="00CE07BB"/>
    <w:rsid w:val="00CE0F52"/>
    <w:rsid w:val="00CE12BE"/>
    <w:rsid w:val="00CE1678"/>
    <w:rsid w:val="00CE1981"/>
    <w:rsid w:val="00CE272D"/>
    <w:rsid w:val="00CE2E46"/>
    <w:rsid w:val="00CE3270"/>
    <w:rsid w:val="00CE41A0"/>
    <w:rsid w:val="00CE4E89"/>
    <w:rsid w:val="00CE57F0"/>
    <w:rsid w:val="00CE5CF3"/>
    <w:rsid w:val="00CE6596"/>
    <w:rsid w:val="00CE7D95"/>
    <w:rsid w:val="00CF10EF"/>
    <w:rsid w:val="00CF2359"/>
    <w:rsid w:val="00CF2A20"/>
    <w:rsid w:val="00CF2D16"/>
    <w:rsid w:val="00CF4324"/>
    <w:rsid w:val="00CF4589"/>
    <w:rsid w:val="00CF6FD2"/>
    <w:rsid w:val="00D00500"/>
    <w:rsid w:val="00D02353"/>
    <w:rsid w:val="00D0272D"/>
    <w:rsid w:val="00D02A48"/>
    <w:rsid w:val="00D0335F"/>
    <w:rsid w:val="00D03A46"/>
    <w:rsid w:val="00D03BC7"/>
    <w:rsid w:val="00D052CB"/>
    <w:rsid w:val="00D10634"/>
    <w:rsid w:val="00D107E4"/>
    <w:rsid w:val="00D10A11"/>
    <w:rsid w:val="00D11274"/>
    <w:rsid w:val="00D12F27"/>
    <w:rsid w:val="00D1430F"/>
    <w:rsid w:val="00D15DA8"/>
    <w:rsid w:val="00D17055"/>
    <w:rsid w:val="00D21AFF"/>
    <w:rsid w:val="00D229B8"/>
    <w:rsid w:val="00D22DAE"/>
    <w:rsid w:val="00D255E8"/>
    <w:rsid w:val="00D26515"/>
    <w:rsid w:val="00D26BDB"/>
    <w:rsid w:val="00D26D1D"/>
    <w:rsid w:val="00D26DA2"/>
    <w:rsid w:val="00D27202"/>
    <w:rsid w:val="00D273D3"/>
    <w:rsid w:val="00D276FD"/>
    <w:rsid w:val="00D27808"/>
    <w:rsid w:val="00D27940"/>
    <w:rsid w:val="00D30550"/>
    <w:rsid w:val="00D30C37"/>
    <w:rsid w:val="00D329E2"/>
    <w:rsid w:val="00D32B94"/>
    <w:rsid w:val="00D3369A"/>
    <w:rsid w:val="00D33B4D"/>
    <w:rsid w:val="00D341C5"/>
    <w:rsid w:val="00D3422F"/>
    <w:rsid w:val="00D34339"/>
    <w:rsid w:val="00D34522"/>
    <w:rsid w:val="00D35300"/>
    <w:rsid w:val="00D3679A"/>
    <w:rsid w:val="00D40508"/>
    <w:rsid w:val="00D408F2"/>
    <w:rsid w:val="00D4249B"/>
    <w:rsid w:val="00D43D20"/>
    <w:rsid w:val="00D43D23"/>
    <w:rsid w:val="00D456AD"/>
    <w:rsid w:val="00D4652E"/>
    <w:rsid w:val="00D466E4"/>
    <w:rsid w:val="00D46770"/>
    <w:rsid w:val="00D46910"/>
    <w:rsid w:val="00D47E1F"/>
    <w:rsid w:val="00D5051C"/>
    <w:rsid w:val="00D507D5"/>
    <w:rsid w:val="00D51C45"/>
    <w:rsid w:val="00D51FF7"/>
    <w:rsid w:val="00D53787"/>
    <w:rsid w:val="00D53C7B"/>
    <w:rsid w:val="00D5441E"/>
    <w:rsid w:val="00D54460"/>
    <w:rsid w:val="00D55350"/>
    <w:rsid w:val="00D561F1"/>
    <w:rsid w:val="00D57E16"/>
    <w:rsid w:val="00D61EAC"/>
    <w:rsid w:val="00D62BDC"/>
    <w:rsid w:val="00D66BF1"/>
    <w:rsid w:val="00D6716A"/>
    <w:rsid w:val="00D67BFD"/>
    <w:rsid w:val="00D700CC"/>
    <w:rsid w:val="00D707A2"/>
    <w:rsid w:val="00D7122D"/>
    <w:rsid w:val="00D715A6"/>
    <w:rsid w:val="00D729E2"/>
    <w:rsid w:val="00D7344D"/>
    <w:rsid w:val="00D745D7"/>
    <w:rsid w:val="00D74CB7"/>
    <w:rsid w:val="00D757EA"/>
    <w:rsid w:val="00D75C72"/>
    <w:rsid w:val="00D75CE0"/>
    <w:rsid w:val="00D75DAD"/>
    <w:rsid w:val="00D761C3"/>
    <w:rsid w:val="00D7759D"/>
    <w:rsid w:val="00D77B94"/>
    <w:rsid w:val="00D77DDA"/>
    <w:rsid w:val="00D81DB8"/>
    <w:rsid w:val="00D82D32"/>
    <w:rsid w:val="00D8336D"/>
    <w:rsid w:val="00D84586"/>
    <w:rsid w:val="00D86519"/>
    <w:rsid w:val="00D86B19"/>
    <w:rsid w:val="00D87B2F"/>
    <w:rsid w:val="00D87CCB"/>
    <w:rsid w:val="00D91316"/>
    <w:rsid w:val="00D92132"/>
    <w:rsid w:val="00D9272E"/>
    <w:rsid w:val="00D927B3"/>
    <w:rsid w:val="00D9294E"/>
    <w:rsid w:val="00D930C4"/>
    <w:rsid w:val="00D93175"/>
    <w:rsid w:val="00D9345A"/>
    <w:rsid w:val="00D93D47"/>
    <w:rsid w:val="00D9638F"/>
    <w:rsid w:val="00D96E30"/>
    <w:rsid w:val="00DA0B4D"/>
    <w:rsid w:val="00DA11DC"/>
    <w:rsid w:val="00DA1739"/>
    <w:rsid w:val="00DA1DE8"/>
    <w:rsid w:val="00DA256C"/>
    <w:rsid w:val="00DA2AD4"/>
    <w:rsid w:val="00DA30C8"/>
    <w:rsid w:val="00DA3C7B"/>
    <w:rsid w:val="00DA4A52"/>
    <w:rsid w:val="00DA5295"/>
    <w:rsid w:val="00DA62F5"/>
    <w:rsid w:val="00DB03FD"/>
    <w:rsid w:val="00DB2009"/>
    <w:rsid w:val="00DB238B"/>
    <w:rsid w:val="00DB50F9"/>
    <w:rsid w:val="00DB7F3A"/>
    <w:rsid w:val="00DC0BE3"/>
    <w:rsid w:val="00DC5DF1"/>
    <w:rsid w:val="00DD182F"/>
    <w:rsid w:val="00DD3550"/>
    <w:rsid w:val="00DD3F2D"/>
    <w:rsid w:val="00DD3FFF"/>
    <w:rsid w:val="00DD5869"/>
    <w:rsid w:val="00DE3955"/>
    <w:rsid w:val="00DE3DFD"/>
    <w:rsid w:val="00DE4DF4"/>
    <w:rsid w:val="00DE577D"/>
    <w:rsid w:val="00DE5F4F"/>
    <w:rsid w:val="00DE6444"/>
    <w:rsid w:val="00DE77D3"/>
    <w:rsid w:val="00DE79E0"/>
    <w:rsid w:val="00DF1846"/>
    <w:rsid w:val="00DF1AB7"/>
    <w:rsid w:val="00DF52FC"/>
    <w:rsid w:val="00DF5EAB"/>
    <w:rsid w:val="00DF71A6"/>
    <w:rsid w:val="00E008D0"/>
    <w:rsid w:val="00E0217B"/>
    <w:rsid w:val="00E02AC7"/>
    <w:rsid w:val="00E03AFA"/>
    <w:rsid w:val="00E04BF8"/>
    <w:rsid w:val="00E0570A"/>
    <w:rsid w:val="00E05C0C"/>
    <w:rsid w:val="00E05F16"/>
    <w:rsid w:val="00E06242"/>
    <w:rsid w:val="00E0693A"/>
    <w:rsid w:val="00E074B6"/>
    <w:rsid w:val="00E126D6"/>
    <w:rsid w:val="00E13733"/>
    <w:rsid w:val="00E13908"/>
    <w:rsid w:val="00E148FD"/>
    <w:rsid w:val="00E14981"/>
    <w:rsid w:val="00E1588F"/>
    <w:rsid w:val="00E1626A"/>
    <w:rsid w:val="00E1700F"/>
    <w:rsid w:val="00E1722D"/>
    <w:rsid w:val="00E207AE"/>
    <w:rsid w:val="00E20F37"/>
    <w:rsid w:val="00E21283"/>
    <w:rsid w:val="00E2366A"/>
    <w:rsid w:val="00E23895"/>
    <w:rsid w:val="00E24805"/>
    <w:rsid w:val="00E26DD1"/>
    <w:rsid w:val="00E277D2"/>
    <w:rsid w:val="00E27CA5"/>
    <w:rsid w:val="00E307CB"/>
    <w:rsid w:val="00E3128B"/>
    <w:rsid w:val="00E314A7"/>
    <w:rsid w:val="00E3173D"/>
    <w:rsid w:val="00E324C9"/>
    <w:rsid w:val="00E32A72"/>
    <w:rsid w:val="00E33618"/>
    <w:rsid w:val="00E3382D"/>
    <w:rsid w:val="00E35FA3"/>
    <w:rsid w:val="00E36491"/>
    <w:rsid w:val="00E36DA2"/>
    <w:rsid w:val="00E40B04"/>
    <w:rsid w:val="00E415FB"/>
    <w:rsid w:val="00E42DCB"/>
    <w:rsid w:val="00E43238"/>
    <w:rsid w:val="00E440D2"/>
    <w:rsid w:val="00E44771"/>
    <w:rsid w:val="00E452DF"/>
    <w:rsid w:val="00E45CFD"/>
    <w:rsid w:val="00E46018"/>
    <w:rsid w:val="00E46C15"/>
    <w:rsid w:val="00E47A2C"/>
    <w:rsid w:val="00E50C54"/>
    <w:rsid w:val="00E51F3C"/>
    <w:rsid w:val="00E52257"/>
    <w:rsid w:val="00E523CA"/>
    <w:rsid w:val="00E537D6"/>
    <w:rsid w:val="00E5397E"/>
    <w:rsid w:val="00E545EE"/>
    <w:rsid w:val="00E559ED"/>
    <w:rsid w:val="00E55A1B"/>
    <w:rsid w:val="00E561E1"/>
    <w:rsid w:val="00E56DBB"/>
    <w:rsid w:val="00E60553"/>
    <w:rsid w:val="00E608A1"/>
    <w:rsid w:val="00E60B7C"/>
    <w:rsid w:val="00E6120C"/>
    <w:rsid w:val="00E63017"/>
    <w:rsid w:val="00E63AD1"/>
    <w:rsid w:val="00E63C90"/>
    <w:rsid w:val="00E64BF8"/>
    <w:rsid w:val="00E64C76"/>
    <w:rsid w:val="00E66844"/>
    <w:rsid w:val="00E66FEF"/>
    <w:rsid w:val="00E670DB"/>
    <w:rsid w:val="00E67146"/>
    <w:rsid w:val="00E675AC"/>
    <w:rsid w:val="00E67B66"/>
    <w:rsid w:val="00E701C9"/>
    <w:rsid w:val="00E71BA0"/>
    <w:rsid w:val="00E71C11"/>
    <w:rsid w:val="00E73034"/>
    <w:rsid w:val="00E73BF1"/>
    <w:rsid w:val="00E75933"/>
    <w:rsid w:val="00E764AC"/>
    <w:rsid w:val="00E7676A"/>
    <w:rsid w:val="00E7688B"/>
    <w:rsid w:val="00E77159"/>
    <w:rsid w:val="00E77E72"/>
    <w:rsid w:val="00E805FE"/>
    <w:rsid w:val="00E80A08"/>
    <w:rsid w:val="00E814CC"/>
    <w:rsid w:val="00E82E4E"/>
    <w:rsid w:val="00E84D15"/>
    <w:rsid w:val="00E94862"/>
    <w:rsid w:val="00E9568B"/>
    <w:rsid w:val="00E95B28"/>
    <w:rsid w:val="00E95D50"/>
    <w:rsid w:val="00E95DF6"/>
    <w:rsid w:val="00E95F4A"/>
    <w:rsid w:val="00E96390"/>
    <w:rsid w:val="00E96C97"/>
    <w:rsid w:val="00E96E8A"/>
    <w:rsid w:val="00E975F7"/>
    <w:rsid w:val="00E97FE5"/>
    <w:rsid w:val="00EA02FA"/>
    <w:rsid w:val="00EA1237"/>
    <w:rsid w:val="00EA1A03"/>
    <w:rsid w:val="00EA2712"/>
    <w:rsid w:val="00EA35ED"/>
    <w:rsid w:val="00EA394B"/>
    <w:rsid w:val="00EA3B3D"/>
    <w:rsid w:val="00EA3E21"/>
    <w:rsid w:val="00EA4671"/>
    <w:rsid w:val="00EA4C89"/>
    <w:rsid w:val="00EA51DD"/>
    <w:rsid w:val="00EA6C35"/>
    <w:rsid w:val="00EA7DBF"/>
    <w:rsid w:val="00EB1529"/>
    <w:rsid w:val="00EB29B9"/>
    <w:rsid w:val="00EB3045"/>
    <w:rsid w:val="00EB596B"/>
    <w:rsid w:val="00EB5E4D"/>
    <w:rsid w:val="00EB7424"/>
    <w:rsid w:val="00EC181E"/>
    <w:rsid w:val="00EC18DF"/>
    <w:rsid w:val="00EC1C0B"/>
    <w:rsid w:val="00EC1C69"/>
    <w:rsid w:val="00EC2431"/>
    <w:rsid w:val="00EC344B"/>
    <w:rsid w:val="00EC422C"/>
    <w:rsid w:val="00EC4B4D"/>
    <w:rsid w:val="00EC529F"/>
    <w:rsid w:val="00EC678B"/>
    <w:rsid w:val="00EC70BD"/>
    <w:rsid w:val="00EC7A15"/>
    <w:rsid w:val="00EC7ACE"/>
    <w:rsid w:val="00ED0552"/>
    <w:rsid w:val="00ED07E8"/>
    <w:rsid w:val="00ED5CF7"/>
    <w:rsid w:val="00ED6F65"/>
    <w:rsid w:val="00EE0252"/>
    <w:rsid w:val="00EE16C1"/>
    <w:rsid w:val="00EE290C"/>
    <w:rsid w:val="00EE3B3A"/>
    <w:rsid w:val="00EE3B58"/>
    <w:rsid w:val="00EE4EE1"/>
    <w:rsid w:val="00EE520D"/>
    <w:rsid w:val="00EE6633"/>
    <w:rsid w:val="00EE6FB3"/>
    <w:rsid w:val="00EE717E"/>
    <w:rsid w:val="00EE775D"/>
    <w:rsid w:val="00EE7A1F"/>
    <w:rsid w:val="00EF0044"/>
    <w:rsid w:val="00EF08C7"/>
    <w:rsid w:val="00EF146A"/>
    <w:rsid w:val="00EF2B55"/>
    <w:rsid w:val="00EF3EF8"/>
    <w:rsid w:val="00EF46B9"/>
    <w:rsid w:val="00EF4852"/>
    <w:rsid w:val="00EF67A1"/>
    <w:rsid w:val="00EF6AC5"/>
    <w:rsid w:val="00EF6EF5"/>
    <w:rsid w:val="00EF7EFF"/>
    <w:rsid w:val="00F00039"/>
    <w:rsid w:val="00F0071C"/>
    <w:rsid w:val="00F01546"/>
    <w:rsid w:val="00F02128"/>
    <w:rsid w:val="00F03303"/>
    <w:rsid w:val="00F07065"/>
    <w:rsid w:val="00F10031"/>
    <w:rsid w:val="00F105DC"/>
    <w:rsid w:val="00F10BBD"/>
    <w:rsid w:val="00F14429"/>
    <w:rsid w:val="00F14C97"/>
    <w:rsid w:val="00F1515B"/>
    <w:rsid w:val="00F153FB"/>
    <w:rsid w:val="00F1641A"/>
    <w:rsid w:val="00F16DF4"/>
    <w:rsid w:val="00F20662"/>
    <w:rsid w:val="00F225FA"/>
    <w:rsid w:val="00F24D81"/>
    <w:rsid w:val="00F251D6"/>
    <w:rsid w:val="00F2564A"/>
    <w:rsid w:val="00F25B56"/>
    <w:rsid w:val="00F27254"/>
    <w:rsid w:val="00F31395"/>
    <w:rsid w:val="00F315FE"/>
    <w:rsid w:val="00F317A1"/>
    <w:rsid w:val="00F33A9B"/>
    <w:rsid w:val="00F33AE1"/>
    <w:rsid w:val="00F34CE3"/>
    <w:rsid w:val="00F365C3"/>
    <w:rsid w:val="00F36619"/>
    <w:rsid w:val="00F377D7"/>
    <w:rsid w:val="00F40253"/>
    <w:rsid w:val="00F40342"/>
    <w:rsid w:val="00F40B66"/>
    <w:rsid w:val="00F426EC"/>
    <w:rsid w:val="00F42ED4"/>
    <w:rsid w:val="00F43563"/>
    <w:rsid w:val="00F44403"/>
    <w:rsid w:val="00F44499"/>
    <w:rsid w:val="00F467E7"/>
    <w:rsid w:val="00F4765F"/>
    <w:rsid w:val="00F5228A"/>
    <w:rsid w:val="00F52647"/>
    <w:rsid w:val="00F5287F"/>
    <w:rsid w:val="00F535E8"/>
    <w:rsid w:val="00F53B32"/>
    <w:rsid w:val="00F54A5E"/>
    <w:rsid w:val="00F55988"/>
    <w:rsid w:val="00F55D2A"/>
    <w:rsid w:val="00F5630E"/>
    <w:rsid w:val="00F571DC"/>
    <w:rsid w:val="00F6108A"/>
    <w:rsid w:val="00F61116"/>
    <w:rsid w:val="00F61623"/>
    <w:rsid w:val="00F6481B"/>
    <w:rsid w:val="00F65EBB"/>
    <w:rsid w:val="00F66D2A"/>
    <w:rsid w:val="00F67AB7"/>
    <w:rsid w:val="00F70A0E"/>
    <w:rsid w:val="00F70BA1"/>
    <w:rsid w:val="00F72369"/>
    <w:rsid w:val="00F73B00"/>
    <w:rsid w:val="00F7458C"/>
    <w:rsid w:val="00F7692E"/>
    <w:rsid w:val="00F8184B"/>
    <w:rsid w:val="00F8265A"/>
    <w:rsid w:val="00F83A1A"/>
    <w:rsid w:val="00F86259"/>
    <w:rsid w:val="00F86F9D"/>
    <w:rsid w:val="00F87612"/>
    <w:rsid w:val="00F8779F"/>
    <w:rsid w:val="00F87FAF"/>
    <w:rsid w:val="00F90CFB"/>
    <w:rsid w:val="00F9169B"/>
    <w:rsid w:val="00F91DA0"/>
    <w:rsid w:val="00F963E3"/>
    <w:rsid w:val="00F97C8F"/>
    <w:rsid w:val="00F97EF0"/>
    <w:rsid w:val="00FA0BFE"/>
    <w:rsid w:val="00FA1FE3"/>
    <w:rsid w:val="00FA26B2"/>
    <w:rsid w:val="00FA283D"/>
    <w:rsid w:val="00FA2BCD"/>
    <w:rsid w:val="00FA40E1"/>
    <w:rsid w:val="00FA5149"/>
    <w:rsid w:val="00FA5623"/>
    <w:rsid w:val="00FA6622"/>
    <w:rsid w:val="00FA6957"/>
    <w:rsid w:val="00FA7D17"/>
    <w:rsid w:val="00FB0772"/>
    <w:rsid w:val="00FB07AE"/>
    <w:rsid w:val="00FB2967"/>
    <w:rsid w:val="00FB2C75"/>
    <w:rsid w:val="00FB344B"/>
    <w:rsid w:val="00FB4817"/>
    <w:rsid w:val="00FB5F9C"/>
    <w:rsid w:val="00FB6B6F"/>
    <w:rsid w:val="00FB6F89"/>
    <w:rsid w:val="00FB75B8"/>
    <w:rsid w:val="00FB75E6"/>
    <w:rsid w:val="00FC1C7D"/>
    <w:rsid w:val="00FC1F51"/>
    <w:rsid w:val="00FC2641"/>
    <w:rsid w:val="00FC28BE"/>
    <w:rsid w:val="00FC42C0"/>
    <w:rsid w:val="00FC6E51"/>
    <w:rsid w:val="00FC7C91"/>
    <w:rsid w:val="00FD0308"/>
    <w:rsid w:val="00FD1E35"/>
    <w:rsid w:val="00FD27B5"/>
    <w:rsid w:val="00FD3F09"/>
    <w:rsid w:val="00FD52E7"/>
    <w:rsid w:val="00FD5B60"/>
    <w:rsid w:val="00FD5CA1"/>
    <w:rsid w:val="00FD5ECF"/>
    <w:rsid w:val="00FD6E48"/>
    <w:rsid w:val="00FD7527"/>
    <w:rsid w:val="00FE07D8"/>
    <w:rsid w:val="00FE096A"/>
    <w:rsid w:val="00FE099A"/>
    <w:rsid w:val="00FE181C"/>
    <w:rsid w:val="00FE2453"/>
    <w:rsid w:val="00FE431A"/>
    <w:rsid w:val="00FE60A7"/>
    <w:rsid w:val="00FE6C0F"/>
    <w:rsid w:val="00FF0156"/>
    <w:rsid w:val="00FF2058"/>
    <w:rsid w:val="00FF27C3"/>
    <w:rsid w:val="00FF506E"/>
    <w:rsid w:val="00FF5991"/>
    <w:rsid w:val="00FF7690"/>
    <w:rsid w:val="00FF7959"/>
    <w:rsid w:val="016F3E10"/>
    <w:rsid w:val="01EE3D5E"/>
    <w:rsid w:val="02827C16"/>
    <w:rsid w:val="03990047"/>
    <w:rsid w:val="05547744"/>
    <w:rsid w:val="073C7ECE"/>
    <w:rsid w:val="0A4121FA"/>
    <w:rsid w:val="0AED6D4F"/>
    <w:rsid w:val="0EC36476"/>
    <w:rsid w:val="0F7456EE"/>
    <w:rsid w:val="10752512"/>
    <w:rsid w:val="118A2EBB"/>
    <w:rsid w:val="12677CCA"/>
    <w:rsid w:val="14B42542"/>
    <w:rsid w:val="14B62904"/>
    <w:rsid w:val="15E7638D"/>
    <w:rsid w:val="161F0083"/>
    <w:rsid w:val="1AEC380A"/>
    <w:rsid w:val="1CC26B26"/>
    <w:rsid w:val="1E62490C"/>
    <w:rsid w:val="1EE066D3"/>
    <w:rsid w:val="23991912"/>
    <w:rsid w:val="23AC13E9"/>
    <w:rsid w:val="24127D59"/>
    <w:rsid w:val="243A1490"/>
    <w:rsid w:val="245E4C36"/>
    <w:rsid w:val="24984878"/>
    <w:rsid w:val="26397581"/>
    <w:rsid w:val="283F04A2"/>
    <w:rsid w:val="28C5390A"/>
    <w:rsid w:val="2AF568C7"/>
    <w:rsid w:val="2AF56F97"/>
    <w:rsid w:val="317F469A"/>
    <w:rsid w:val="32BC3D89"/>
    <w:rsid w:val="345400F6"/>
    <w:rsid w:val="38947C4C"/>
    <w:rsid w:val="38CB2654"/>
    <w:rsid w:val="38E61296"/>
    <w:rsid w:val="3AEA0371"/>
    <w:rsid w:val="3EF4243C"/>
    <w:rsid w:val="3FF34282"/>
    <w:rsid w:val="3FF73E3D"/>
    <w:rsid w:val="42214B2A"/>
    <w:rsid w:val="446064F5"/>
    <w:rsid w:val="44A004B6"/>
    <w:rsid w:val="45EF5754"/>
    <w:rsid w:val="46906E3E"/>
    <w:rsid w:val="46BA1434"/>
    <w:rsid w:val="4BDC499F"/>
    <w:rsid w:val="4ECE679E"/>
    <w:rsid w:val="4F6D2637"/>
    <w:rsid w:val="50C53BB8"/>
    <w:rsid w:val="517813D7"/>
    <w:rsid w:val="51F42582"/>
    <w:rsid w:val="543B08B4"/>
    <w:rsid w:val="585D0855"/>
    <w:rsid w:val="5AE56ADB"/>
    <w:rsid w:val="5B6F29D7"/>
    <w:rsid w:val="5F8B5996"/>
    <w:rsid w:val="5FE16CFD"/>
    <w:rsid w:val="60B3565E"/>
    <w:rsid w:val="60E77951"/>
    <w:rsid w:val="65AA0B64"/>
    <w:rsid w:val="65C2301A"/>
    <w:rsid w:val="67133991"/>
    <w:rsid w:val="6B190F72"/>
    <w:rsid w:val="6C983C5B"/>
    <w:rsid w:val="6CE17A5C"/>
    <w:rsid w:val="6D542C81"/>
    <w:rsid w:val="769A62CE"/>
    <w:rsid w:val="78307C14"/>
    <w:rsid w:val="78F56EF9"/>
    <w:rsid w:val="7A5B0E77"/>
    <w:rsid w:val="7BA546E1"/>
    <w:rsid w:val="7C142DC8"/>
    <w:rsid w:val="7E084611"/>
    <w:rsid w:val="7E893A77"/>
    <w:rsid w:val="7F69401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paragraph" w:styleId="2">
    <w:name w:val="heading 1"/>
    <w:basedOn w:val="1"/>
    <w:next w:val="1"/>
    <w:link w:val="31"/>
    <w:qFormat/>
    <w:uiPriority w:val="9"/>
    <w:pPr>
      <w:keepNext/>
      <w:keepLines/>
      <w:widowControl w:val="0"/>
      <w:spacing w:before="340" w:after="330" w:line="578" w:lineRule="auto"/>
      <w:jc w:val="both"/>
      <w:outlineLvl w:val="0"/>
    </w:pPr>
    <w:rPr>
      <w:rFonts w:asciiTheme="minorHAnsi" w:hAnsiTheme="minorHAnsi" w:cstheme="minorBidi"/>
      <w:b/>
      <w:bCs/>
      <w:kern w:val="44"/>
      <w:sz w:val="44"/>
      <w:szCs w:val="44"/>
    </w:rPr>
  </w:style>
  <w:style w:type="paragraph" w:styleId="3">
    <w:name w:val="heading 2"/>
    <w:basedOn w:val="1"/>
    <w:next w:val="1"/>
    <w:link w:val="32"/>
    <w:unhideWhenUsed/>
    <w:qFormat/>
    <w:uiPriority w:val="9"/>
    <w:pPr>
      <w:keepNext/>
      <w:keepLines/>
      <w:widowControl w:val="0"/>
      <w:spacing w:before="260" w:after="260" w:line="416" w:lineRule="auto"/>
      <w:jc w:val="both"/>
      <w:outlineLvl w:val="1"/>
    </w:pPr>
    <w:rPr>
      <w:rFonts w:asciiTheme="majorHAnsi" w:hAnsiTheme="majorHAnsi" w:eastAsiaTheme="majorEastAsia" w:cstheme="majorBidi"/>
      <w:b/>
      <w:bCs/>
      <w:kern w:val="2"/>
      <w:sz w:val="32"/>
      <w:szCs w:val="32"/>
    </w:rPr>
  </w:style>
  <w:style w:type="paragraph" w:styleId="4">
    <w:name w:val="heading 3"/>
    <w:basedOn w:val="1"/>
    <w:next w:val="1"/>
    <w:link w:val="33"/>
    <w:semiHidden/>
    <w:unhideWhenUsed/>
    <w:qFormat/>
    <w:uiPriority w:val="9"/>
    <w:pPr>
      <w:keepNext/>
      <w:keepLines/>
      <w:widowControl w:val="0"/>
      <w:spacing w:before="260" w:after="260" w:line="416" w:lineRule="auto"/>
      <w:jc w:val="both"/>
      <w:outlineLvl w:val="2"/>
    </w:pPr>
    <w:rPr>
      <w:rFonts w:asciiTheme="minorHAnsi" w:hAnsiTheme="minorHAnsi" w:cstheme="minorBidi"/>
      <w:b/>
      <w:bCs/>
      <w:kern w:val="2"/>
      <w:sz w:val="32"/>
      <w:szCs w:val="32"/>
    </w:rPr>
  </w:style>
  <w:style w:type="paragraph" w:styleId="5">
    <w:name w:val="heading 4"/>
    <w:basedOn w:val="1"/>
    <w:next w:val="1"/>
    <w:link w:val="34"/>
    <w:semiHidden/>
    <w:unhideWhenUsed/>
    <w:qFormat/>
    <w:uiPriority w:val="9"/>
    <w:pPr>
      <w:keepNext/>
      <w:keepLines/>
      <w:widowControl w:val="0"/>
      <w:spacing w:before="280" w:after="290" w:line="376" w:lineRule="auto"/>
      <w:jc w:val="both"/>
      <w:outlineLvl w:val="3"/>
    </w:pPr>
    <w:rPr>
      <w:rFonts w:asciiTheme="majorHAnsi" w:hAnsiTheme="majorHAnsi" w:eastAsiaTheme="majorEastAsia" w:cstheme="majorBidi"/>
      <w:b/>
      <w:bCs/>
      <w:kern w:val="2"/>
      <w:sz w:val="28"/>
      <w:szCs w:val="28"/>
    </w:rPr>
  </w:style>
  <w:style w:type="paragraph" w:styleId="6">
    <w:name w:val="heading 5"/>
    <w:basedOn w:val="1"/>
    <w:next w:val="1"/>
    <w:link w:val="35"/>
    <w:semiHidden/>
    <w:unhideWhenUsed/>
    <w:qFormat/>
    <w:uiPriority w:val="9"/>
    <w:pPr>
      <w:keepNext/>
      <w:keepLines/>
      <w:widowControl w:val="0"/>
      <w:spacing w:before="280" w:after="290" w:line="376" w:lineRule="auto"/>
      <w:jc w:val="both"/>
      <w:outlineLvl w:val="4"/>
    </w:pPr>
    <w:rPr>
      <w:rFonts w:asciiTheme="minorHAnsi" w:hAnsiTheme="minorHAnsi" w:cstheme="minorBidi"/>
      <w:b/>
      <w:bCs/>
      <w:kern w:val="2"/>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widowControl w:val="0"/>
      <w:ind w:left="1260"/>
    </w:pPr>
    <w:rPr>
      <w:rFonts w:asciiTheme="minorHAnsi" w:hAnsiTheme="minorHAnsi" w:cstheme="minorBidi"/>
      <w:kern w:val="2"/>
      <w:sz w:val="18"/>
      <w:szCs w:val="18"/>
    </w:rPr>
  </w:style>
  <w:style w:type="paragraph" w:styleId="8">
    <w:name w:val="toa heading"/>
    <w:basedOn w:val="1"/>
    <w:next w:val="1"/>
    <w:qFormat/>
    <w:uiPriority w:val="99"/>
    <w:pPr>
      <w:widowControl w:val="0"/>
      <w:spacing w:before="120"/>
      <w:jc w:val="both"/>
    </w:pPr>
    <w:rPr>
      <w:rFonts w:ascii="Arial" w:hAnsi="Arial" w:cs="Arial"/>
      <w:kern w:val="2"/>
    </w:rPr>
  </w:style>
  <w:style w:type="paragraph" w:styleId="9">
    <w:name w:val="annotation text"/>
    <w:basedOn w:val="1"/>
    <w:link w:val="36"/>
    <w:semiHidden/>
    <w:unhideWhenUsed/>
    <w:qFormat/>
    <w:uiPriority w:val="99"/>
    <w:pPr>
      <w:widowControl w:val="0"/>
    </w:pPr>
    <w:rPr>
      <w:rFonts w:asciiTheme="minorHAnsi" w:hAnsiTheme="minorHAnsi" w:cstheme="minorBidi"/>
      <w:kern w:val="2"/>
      <w:sz w:val="21"/>
      <w:szCs w:val="21"/>
    </w:rPr>
  </w:style>
  <w:style w:type="paragraph" w:styleId="10">
    <w:name w:val="toc 5"/>
    <w:basedOn w:val="1"/>
    <w:next w:val="1"/>
    <w:unhideWhenUsed/>
    <w:qFormat/>
    <w:uiPriority w:val="39"/>
    <w:pPr>
      <w:widowControl w:val="0"/>
      <w:ind w:left="840"/>
    </w:pPr>
    <w:rPr>
      <w:rFonts w:asciiTheme="minorHAnsi" w:hAnsiTheme="minorHAnsi" w:cstheme="minorBidi"/>
      <w:kern w:val="2"/>
      <w:sz w:val="18"/>
      <w:szCs w:val="18"/>
    </w:rPr>
  </w:style>
  <w:style w:type="paragraph" w:styleId="11">
    <w:name w:val="toc 3"/>
    <w:basedOn w:val="1"/>
    <w:next w:val="1"/>
    <w:unhideWhenUsed/>
    <w:qFormat/>
    <w:uiPriority w:val="39"/>
    <w:pPr>
      <w:widowControl w:val="0"/>
      <w:ind w:left="420"/>
    </w:pPr>
    <w:rPr>
      <w:rFonts w:asciiTheme="minorHAnsi" w:hAnsiTheme="minorHAnsi" w:cstheme="minorBidi"/>
      <w:iCs/>
      <w:kern w:val="2"/>
      <w:sz w:val="20"/>
      <w:szCs w:val="20"/>
    </w:rPr>
  </w:style>
  <w:style w:type="paragraph" w:styleId="12">
    <w:name w:val="toc 8"/>
    <w:basedOn w:val="1"/>
    <w:next w:val="1"/>
    <w:unhideWhenUsed/>
    <w:qFormat/>
    <w:uiPriority w:val="39"/>
    <w:pPr>
      <w:widowControl w:val="0"/>
      <w:ind w:left="1470"/>
    </w:pPr>
    <w:rPr>
      <w:rFonts w:asciiTheme="minorHAnsi" w:hAnsiTheme="minorHAnsi" w:cstheme="minorBidi"/>
      <w:kern w:val="2"/>
      <w:sz w:val="18"/>
      <w:szCs w:val="18"/>
    </w:rPr>
  </w:style>
  <w:style w:type="paragraph" w:styleId="13">
    <w:name w:val="Date"/>
    <w:basedOn w:val="1"/>
    <w:next w:val="1"/>
    <w:link w:val="37"/>
    <w:semiHidden/>
    <w:unhideWhenUsed/>
    <w:qFormat/>
    <w:uiPriority w:val="99"/>
    <w:pPr>
      <w:widowControl w:val="0"/>
      <w:ind w:left="100" w:leftChars="2500"/>
      <w:jc w:val="both"/>
    </w:pPr>
    <w:rPr>
      <w:rFonts w:asciiTheme="minorHAnsi" w:hAnsiTheme="minorHAnsi" w:cstheme="minorBidi"/>
      <w:kern w:val="2"/>
      <w:sz w:val="21"/>
      <w:szCs w:val="21"/>
    </w:rPr>
  </w:style>
  <w:style w:type="paragraph" w:styleId="14">
    <w:name w:val="Balloon Text"/>
    <w:basedOn w:val="1"/>
    <w:link w:val="38"/>
    <w:semiHidden/>
    <w:unhideWhenUsed/>
    <w:qFormat/>
    <w:uiPriority w:val="99"/>
    <w:pPr>
      <w:widowControl w:val="0"/>
      <w:jc w:val="both"/>
    </w:pPr>
    <w:rPr>
      <w:rFonts w:asciiTheme="minorHAnsi" w:hAnsiTheme="minorHAnsi" w:cstheme="minorBidi"/>
      <w:kern w:val="2"/>
      <w:sz w:val="18"/>
      <w:szCs w:val="18"/>
    </w:rPr>
  </w:style>
  <w:style w:type="paragraph" w:styleId="15">
    <w:name w:val="footer"/>
    <w:basedOn w:val="1"/>
    <w:link w:val="39"/>
    <w:unhideWhenUsed/>
    <w:qFormat/>
    <w:uiPriority w:val="99"/>
    <w:pPr>
      <w:widowControl w:val="0"/>
      <w:tabs>
        <w:tab w:val="center" w:pos="4153"/>
        <w:tab w:val="right" w:pos="8306"/>
      </w:tabs>
      <w:snapToGrid w:val="0"/>
    </w:pPr>
    <w:rPr>
      <w:rFonts w:asciiTheme="minorHAnsi" w:hAnsiTheme="minorHAnsi" w:cstheme="minorBidi"/>
      <w:kern w:val="2"/>
      <w:sz w:val="18"/>
      <w:szCs w:val="18"/>
    </w:rPr>
  </w:style>
  <w:style w:type="paragraph" w:styleId="16">
    <w:name w:val="header"/>
    <w:basedOn w:val="1"/>
    <w:link w:val="40"/>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cstheme="minorBidi"/>
      <w:kern w:val="2"/>
      <w:sz w:val="18"/>
      <w:szCs w:val="18"/>
    </w:rPr>
  </w:style>
  <w:style w:type="paragraph" w:styleId="17">
    <w:name w:val="toc 1"/>
    <w:basedOn w:val="1"/>
    <w:next w:val="1"/>
    <w:unhideWhenUsed/>
    <w:qFormat/>
    <w:uiPriority w:val="39"/>
    <w:pPr>
      <w:widowControl w:val="0"/>
      <w:spacing w:before="120" w:after="120"/>
    </w:pPr>
    <w:rPr>
      <w:rFonts w:asciiTheme="minorHAnsi" w:hAnsiTheme="minorHAnsi" w:cstheme="minorBidi"/>
      <w:b/>
      <w:bCs/>
      <w:caps/>
      <w:kern w:val="2"/>
      <w:sz w:val="20"/>
      <w:szCs w:val="20"/>
    </w:rPr>
  </w:style>
  <w:style w:type="paragraph" w:styleId="18">
    <w:name w:val="toc 4"/>
    <w:basedOn w:val="1"/>
    <w:next w:val="1"/>
    <w:unhideWhenUsed/>
    <w:qFormat/>
    <w:uiPriority w:val="39"/>
    <w:pPr>
      <w:widowControl w:val="0"/>
      <w:ind w:left="630"/>
    </w:pPr>
    <w:rPr>
      <w:rFonts w:asciiTheme="minorHAnsi" w:hAnsiTheme="minorHAnsi" w:cstheme="minorBidi"/>
      <w:kern w:val="2"/>
      <w:sz w:val="18"/>
      <w:szCs w:val="18"/>
    </w:rPr>
  </w:style>
  <w:style w:type="paragraph" w:styleId="19">
    <w:name w:val="toc 6"/>
    <w:basedOn w:val="1"/>
    <w:next w:val="1"/>
    <w:unhideWhenUsed/>
    <w:qFormat/>
    <w:uiPriority w:val="39"/>
    <w:pPr>
      <w:widowControl w:val="0"/>
      <w:ind w:left="1050"/>
    </w:pPr>
    <w:rPr>
      <w:rFonts w:asciiTheme="minorHAnsi" w:hAnsiTheme="minorHAnsi" w:cstheme="minorBidi"/>
      <w:kern w:val="2"/>
      <w:sz w:val="18"/>
      <w:szCs w:val="18"/>
    </w:rPr>
  </w:style>
  <w:style w:type="paragraph" w:styleId="20">
    <w:name w:val="toc 2"/>
    <w:basedOn w:val="1"/>
    <w:next w:val="1"/>
    <w:unhideWhenUsed/>
    <w:qFormat/>
    <w:uiPriority w:val="39"/>
    <w:pPr>
      <w:widowControl w:val="0"/>
      <w:ind w:left="210"/>
    </w:pPr>
    <w:rPr>
      <w:rFonts w:asciiTheme="minorHAnsi" w:hAnsiTheme="minorHAnsi" w:cstheme="minorBidi"/>
      <w:smallCaps/>
      <w:kern w:val="2"/>
      <w:sz w:val="20"/>
      <w:szCs w:val="20"/>
    </w:rPr>
  </w:style>
  <w:style w:type="paragraph" w:styleId="21">
    <w:name w:val="toc 9"/>
    <w:basedOn w:val="1"/>
    <w:next w:val="1"/>
    <w:unhideWhenUsed/>
    <w:qFormat/>
    <w:uiPriority w:val="39"/>
    <w:pPr>
      <w:widowControl w:val="0"/>
      <w:ind w:left="1680"/>
    </w:pPr>
    <w:rPr>
      <w:rFonts w:asciiTheme="minorHAnsi" w:hAnsiTheme="minorHAnsi" w:cstheme="minorBidi"/>
      <w:kern w:val="2"/>
      <w:sz w:val="18"/>
      <w:szCs w:val="18"/>
    </w:rPr>
  </w:style>
  <w:style w:type="paragraph" w:styleId="22">
    <w:name w:val="Normal (Web)"/>
    <w:basedOn w:val="1"/>
    <w:unhideWhenUsed/>
    <w:qFormat/>
    <w:uiPriority w:val="99"/>
    <w:pPr>
      <w:spacing w:before="100" w:beforeAutospacing="1" w:after="100" w:afterAutospacing="1"/>
    </w:pPr>
    <w:rPr>
      <w:rFonts w:ascii="宋体" w:hAnsi="宋体" w:eastAsia="宋体" w:cs="宋体"/>
    </w:rPr>
  </w:style>
  <w:style w:type="paragraph" w:styleId="23">
    <w:name w:val="annotation subject"/>
    <w:basedOn w:val="9"/>
    <w:next w:val="9"/>
    <w:link w:val="41"/>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FollowedHyperlink"/>
    <w:basedOn w:val="26"/>
    <w:semiHidden/>
    <w:unhideWhenUsed/>
    <w:qFormat/>
    <w:uiPriority w:val="99"/>
    <w:rPr>
      <w:color w:val="954F72" w:themeColor="followedHyperlink"/>
      <w:u w:val="single"/>
    </w:rPr>
  </w:style>
  <w:style w:type="character" w:styleId="29">
    <w:name w:val="Hyperlink"/>
    <w:basedOn w:val="26"/>
    <w:unhideWhenUsed/>
    <w:qFormat/>
    <w:uiPriority w:val="99"/>
    <w:rPr>
      <w:color w:val="0563C1" w:themeColor="hyperlink"/>
      <w:u w:val="single"/>
    </w:rPr>
  </w:style>
  <w:style w:type="character" w:styleId="30">
    <w:name w:val="annotation reference"/>
    <w:basedOn w:val="26"/>
    <w:semiHidden/>
    <w:unhideWhenUsed/>
    <w:qFormat/>
    <w:uiPriority w:val="99"/>
    <w:rPr>
      <w:sz w:val="21"/>
      <w:szCs w:val="21"/>
    </w:rPr>
  </w:style>
  <w:style w:type="character" w:customStyle="1" w:styleId="31">
    <w:name w:val="标题 1 Char"/>
    <w:basedOn w:val="26"/>
    <w:link w:val="2"/>
    <w:qFormat/>
    <w:uiPriority w:val="9"/>
    <w:rPr>
      <w:b/>
      <w:bCs/>
      <w:kern w:val="44"/>
      <w:sz w:val="44"/>
      <w:szCs w:val="44"/>
    </w:rPr>
  </w:style>
  <w:style w:type="character" w:customStyle="1" w:styleId="32">
    <w:name w:val="标题 2 Char"/>
    <w:basedOn w:val="26"/>
    <w:link w:val="3"/>
    <w:qFormat/>
    <w:uiPriority w:val="9"/>
    <w:rPr>
      <w:rFonts w:asciiTheme="majorHAnsi" w:hAnsiTheme="majorHAnsi" w:eastAsiaTheme="majorEastAsia" w:cstheme="majorBidi"/>
      <w:b/>
      <w:bCs/>
      <w:sz w:val="32"/>
      <w:szCs w:val="32"/>
    </w:rPr>
  </w:style>
  <w:style w:type="character" w:customStyle="1" w:styleId="33">
    <w:name w:val="标题 3 Char"/>
    <w:basedOn w:val="26"/>
    <w:link w:val="4"/>
    <w:semiHidden/>
    <w:qFormat/>
    <w:uiPriority w:val="9"/>
    <w:rPr>
      <w:b/>
      <w:bCs/>
      <w:sz w:val="32"/>
      <w:szCs w:val="32"/>
    </w:rPr>
  </w:style>
  <w:style w:type="character" w:customStyle="1" w:styleId="34">
    <w:name w:val="标题 4 Char"/>
    <w:basedOn w:val="26"/>
    <w:link w:val="5"/>
    <w:semiHidden/>
    <w:qFormat/>
    <w:uiPriority w:val="9"/>
    <w:rPr>
      <w:rFonts w:asciiTheme="majorHAnsi" w:hAnsiTheme="majorHAnsi" w:eastAsiaTheme="majorEastAsia" w:cstheme="majorBidi"/>
      <w:b/>
      <w:bCs/>
      <w:sz w:val="28"/>
      <w:szCs w:val="28"/>
    </w:rPr>
  </w:style>
  <w:style w:type="character" w:customStyle="1" w:styleId="35">
    <w:name w:val="标题 5 Char"/>
    <w:basedOn w:val="26"/>
    <w:link w:val="6"/>
    <w:semiHidden/>
    <w:qFormat/>
    <w:uiPriority w:val="9"/>
    <w:rPr>
      <w:b/>
      <w:bCs/>
      <w:sz w:val="28"/>
      <w:szCs w:val="28"/>
    </w:rPr>
  </w:style>
  <w:style w:type="character" w:customStyle="1" w:styleId="36">
    <w:name w:val="批注文字 Char"/>
    <w:basedOn w:val="26"/>
    <w:link w:val="9"/>
    <w:semiHidden/>
    <w:qFormat/>
    <w:uiPriority w:val="99"/>
  </w:style>
  <w:style w:type="character" w:customStyle="1" w:styleId="37">
    <w:name w:val="日期 Char"/>
    <w:basedOn w:val="26"/>
    <w:link w:val="13"/>
    <w:semiHidden/>
    <w:qFormat/>
    <w:uiPriority w:val="99"/>
  </w:style>
  <w:style w:type="character" w:customStyle="1" w:styleId="38">
    <w:name w:val="批注框文本 Char"/>
    <w:basedOn w:val="26"/>
    <w:link w:val="14"/>
    <w:semiHidden/>
    <w:qFormat/>
    <w:uiPriority w:val="99"/>
    <w:rPr>
      <w:sz w:val="18"/>
      <w:szCs w:val="18"/>
    </w:rPr>
  </w:style>
  <w:style w:type="character" w:customStyle="1" w:styleId="39">
    <w:name w:val="页脚 Char"/>
    <w:basedOn w:val="26"/>
    <w:link w:val="15"/>
    <w:qFormat/>
    <w:uiPriority w:val="99"/>
    <w:rPr>
      <w:sz w:val="18"/>
      <w:szCs w:val="18"/>
    </w:rPr>
  </w:style>
  <w:style w:type="character" w:customStyle="1" w:styleId="40">
    <w:name w:val="页眉 Char"/>
    <w:basedOn w:val="26"/>
    <w:link w:val="16"/>
    <w:qFormat/>
    <w:uiPriority w:val="99"/>
    <w:rPr>
      <w:sz w:val="18"/>
      <w:szCs w:val="18"/>
    </w:rPr>
  </w:style>
  <w:style w:type="character" w:customStyle="1" w:styleId="41">
    <w:name w:val="批注主题 Char"/>
    <w:basedOn w:val="36"/>
    <w:link w:val="23"/>
    <w:semiHidden/>
    <w:qFormat/>
    <w:uiPriority w:val="99"/>
    <w:rPr>
      <w:b/>
      <w:bCs/>
    </w:rPr>
  </w:style>
  <w:style w:type="paragraph" w:customStyle="1" w:styleId="4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paragraph" w:customStyle="1" w:styleId="43">
    <w:name w:val="规划正文"/>
    <w:basedOn w:val="1"/>
    <w:qFormat/>
    <w:uiPriority w:val="0"/>
    <w:pPr>
      <w:widowControl w:val="0"/>
      <w:autoSpaceDE w:val="0"/>
      <w:autoSpaceDN w:val="0"/>
      <w:adjustRightInd w:val="0"/>
      <w:spacing w:line="360" w:lineRule="auto"/>
      <w:ind w:firstLine="600" w:firstLineChars="200"/>
      <w:jc w:val="both"/>
    </w:pPr>
    <w:rPr>
      <w:rFonts w:ascii="仿宋_GB2312" w:hAnsi="仿宋" w:eastAsia="仿宋_GB2312" w:cs="仿宋"/>
      <w:color w:val="000000"/>
      <w:kern w:val="2"/>
      <w:sz w:val="30"/>
      <w:szCs w:val="30"/>
    </w:rPr>
  </w:style>
  <w:style w:type="paragraph" w:styleId="44">
    <w:name w:val="List Paragraph"/>
    <w:basedOn w:val="1"/>
    <w:qFormat/>
    <w:uiPriority w:val="34"/>
    <w:pPr>
      <w:widowControl w:val="0"/>
      <w:ind w:firstLine="420" w:firstLineChars="200"/>
      <w:jc w:val="both"/>
    </w:pPr>
    <w:rPr>
      <w:rFonts w:asciiTheme="minorHAnsi" w:hAnsiTheme="minorHAnsi" w:cstheme="minorBidi"/>
      <w:kern w:val="2"/>
      <w:sz w:val="21"/>
      <w:szCs w:val="21"/>
    </w:rPr>
  </w:style>
  <w:style w:type="paragraph" w:customStyle="1" w:styleId="45">
    <w:name w:val="报告格式-正文"/>
    <w:basedOn w:val="1"/>
    <w:qFormat/>
    <w:uiPriority w:val="0"/>
    <w:pPr>
      <w:widowControl w:val="0"/>
      <w:spacing w:line="360" w:lineRule="auto"/>
      <w:ind w:firstLine="200" w:firstLineChars="200"/>
      <w:jc w:val="both"/>
    </w:pPr>
    <w:rPr>
      <w:rFonts w:eastAsia="宋体"/>
      <w:kern w:val="2"/>
      <w:sz w:val="28"/>
      <w:szCs w:val="36"/>
    </w:rPr>
  </w:style>
  <w:style w:type="paragraph" w:customStyle="1" w:styleId="46">
    <w:name w:val="Default"/>
    <w:qFormat/>
    <w:uiPriority w:val="0"/>
    <w:pPr>
      <w:widowControl w:val="0"/>
      <w:autoSpaceDE w:val="0"/>
      <w:autoSpaceDN w:val="0"/>
      <w:adjustRightInd w:val="0"/>
    </w:pPr>
    <w:rPr>
      <w:rFonts w:ascii="仿宋" w:eastAsia="仿宋" w:cs="仿宋" w:hAnsiTheme="minorHAnsi"/>
      <w:color w:val="000000"/>
      <w:sz w:val="24"/>
      <w:szCs w:val="24"/>
      <w:lang w:val="en-US" w:eastAsia="zh-CN" w:bidi="ar-SA"/>
    </w:rPr>
  </w:style>
  <w:style w:type="character" w:customStyle="1" w:styleId="47">
    <w:name w:val="fontstyle01"/>
    <w:basedOn w:val="26"/>
    <w:qFormat/>
    <w:uiPriority w:val="0"/>
    <w:rPr>
      <w:rFonts w:hint="default" w:ascii="TimesNewRomanPS-BoldMT" w:hAnsi="TimesNewRomanPS-BoldMT"/>
      <w:b/>
      <w:bCs/>
      <w:color w:val="000000"/>
      <w:sz w:val="32"/>
      <w:szCs w:val="32"/>
    </w:rPr>
  </w:style>
  <w:style w:type="character" w:customStyle="1" w:styleId="48">
    <w:name w:val="fontstyle11"/>
    <w:basedOn w:val="26"/>
    <w:qFormat/>
    <w:uiPriority w:val="0"/>
    <w:rPr>
      <w:rFonts w:hint="eastAsia" w:ascii="仿宋_GB2312" w:eastAsia="仿宋_GB2312"/>
      <w:color w:val="000000"/>
      <w:sz w:val="32"/>
      <w:szCs w:val="32"/>
    </w:rPr>
  </w:style>
  <w:style w:type="character" w:customStyle="1" w:styleId="49">
    <w:name w:val="fontstyle31"/>
    <w:basedOn w:val="26"/>
    <w:qFormat/>
    <w:uiPriority w:val="0"/>
    <w:rPr>
      <w:rFonts w:hint="default" w:ascii="TimesNewRomanPSMT" w:hAnsi="TimesNewRomanPSMT"/>
      <w:color w:val="000000"/>
      <w:sz w:val="32"/>
      <w:szCs w:val="32"/>
    </w:rPr>
  </w:style>
  <w:style w:type="character" w:customStyle="1" w:styleId="50">
    <w:name w:val="fontstyle41"/>
    <w:basedOn w:val="26"/>
    <w:qFormat/>
    <w:uiPriority w:val="0"/>
    <w:rPr>
      <w:rFonts w:hint="default" w:ascii="Calibri" w:hAnsi="Calibri" w:cs="Calibri"/>
      <w:color w:val="000000"/>
      <w:sz w:val="18"/>
      <w:szCs w:val="18"/>
    </w:rPr>
  </w:style>
  <w:style w:type="paragraph" w:customStyle="1" w:styleId="51">
    <w:name w:val="列出段落1"/>
    <w:basedOn w:val="1"/>
    <w:qFormat/>
    <w:uiPriority w:val="34"/>
    <w:pPr>
      <w:spacing w:line="580" w:lineRule="exact"/>
      <w:ind w:firstLine="420" w:firstLineChars="200"/>
      <w:jc w:val="both"/>
    </w:pPr>
    <w:rPr>
      <w:rFonts w:asciiTheme="minorHAnsi" w:hAnsiTheme="minorHAnsi" w:cstheme="minorBidi"/>
      <w:kern w:val="2"/>
      <w:sz w:val="21"/>
      <w:szCs w:val="21"/>
    </w:rPr>
  </w:style>
  <w:style w:type="character" w:customStyle="1" w:styleId="52">
    <w:name w:val="fontstyle21"/>
    <w:basedOn w:val="26"/>
    <w:qFormat/>
    <w:uiPriority w:val="0"/>
    <w:rPr>
      <w:rFonts w:hint="default" w:ascii="TimesNewRomanPSMT" w:hAnsi="TimesNewRomanPSMT"/>
      <w:color w:val="000000"/>
      <w:sz w:val="24"/>
      <w:szCs w:val="24"/>
    </w:rPr>
  </w:style>
  <w:style w:type="paragraph" w:customStyle="1" w:styleId="53">
    <w:name w:val="题目"/>
    <w:basedOn w:val="1"/>
    <w:link w:val="54"/>
    <w:qFormat/>
    <w:uiPriority w:val="0"/>
    <w:pPr>
      <w:widowControl w:val="0"/>
      <w:spacing w:line="360" w:lineRule="auto"/>
      <w:jc w:val="center"/>
    </w:pPr>
    <w:rPr>
      <w:rFonts w:ascii="方正小标宋简体" w:hAnsi="黑体" w:eastAsia="方正小标宋简体" w:cstheme="minorBidi"/>
      <w:kern w:val="2"/>
      <w:sz w:val="44"/>
      <w:szCs w:val="44"/>
    </w:rPr>
  </w:style>
  <w:style w:type="character" w:customStyle="1" w:styleId="54">
    <w:name w:val="题目 Char"/>
    <w:basedOn w:val="26"/>
    <w:link w:val="53"/>
    <w:qFormat/>
    <w:uiPriority w:val="0"/>
    <w:rPr>
      <w:rFonts w:ascii="方正小标宋简体" w:hAnsi="黑体" w:eastAsia="方正小标宋简体"/>
      <w:sz w:val="44"/>
      <w:szCs w:val="44"/>
    </w:rPr>
  </w:style>
  <w:style w:type="paragraph" w:customStyle="1" w:styleId="55">
    <w:name w:val="1"/>
    <w:basedOn w:val="2"/>
    <w:link w:val="56"/>
    <w:qFormat/>
    <w:uiPriority w:val="0"/>
    <w:pPr>
      <w:spacing w:before="0" w:afterLines="50" w:line="360" w:lineRule="auto"/>
      <w:jc w:val="center"/>
    </w:pPr>
    <w:rPr>
      <w:rFonts w:ascii="黑体" w:hAnsi="黑体" w:eastAsia="黑体"/>
      <w:b w:val="0"/>
      <w:szCs w:val="36"/>
    </w:rPr>
  </w:style>
  <w:style w:type="character" w:customStyle="1" w:styleId="56">
    <w:name w:val="1 Char"/>
    <w:basedOn w:val="31"/>
    <w:link w:val="55"/>
    <w:qFormat/>
    <w:uiPriority w:val="0"/>
    <w:rPr>
      <w:rFonts w:ascii="黑体" w:hAnsi="黑体" w:eastAsia="黑体"/>
      <w:b w:val="0"/>
      <w:kern w:val="44"/>
      <w:sz w:val="44"/>
      <w:szCs w:val="36"/>
    </w:rPr>
  </w:style>
  <w:style w:type="paragraph" w:customStyle="1" w:styleId="57">
    <w:name w:val="1.1"/>
    <w:basedOn w:val="3"/>
    <w:link w:val="58"/>
    <w:qFormat/>
    <w:uiPriority w:val="0"/>
    <w:pPr>
      <w:spacing w:before="0" w:after="0" w:line="540" w:lineRule="exact"/>
      <w:ind w:firstLine="200" w:firstLineChars="200"/>
    </w:pPr>
    <w:rPr>
      <w:rFonts w:ascii="黑体" w:hAnsi="黑体" w:eastAsia="黑体"/>
      <w:b w:val="0"/>
    </w:rPr>
  </w:style>
  <w:style w:type="character" w:customStyle="1" w:styleId="58">
    <w:name w:val="1.1 Char"/>
    <w:basedOn w:val="32"/>
    <w:link w:val="57"/>
    <w:qFormat/>
    <w:uiPriority w:val="0"/>
    <w:rPr>
      <w:rFonts w:ascii="黑体" w:hAnsi="黑体" w:eastAsia="黑体"/>
      <w:kern w:val="2"/>
    </w:rPr>
  </w:style>
  <w:style w:type="paragraph" w:customStyle="1" w:styleId="59">
    <w:name w:val="1.1.1"/>
    <w:basedOn w:val="1"/>
    <w:link w:val="60"/>
    <w:qFormat/>
    <w:uiPriority w:val="0"/>
    <w:pPr>
      <w:widowControl w:val="0"/>
      <w:spacing w:line="540" w:lineRule="exact"/>
      <w:ind w:firstLine="200" w:firstLineChars="200"/>
      <w:jc w:val="both"/>
      <w:outlineLvl w:val="2"/>
    </w:pPr>
    <w:rPr>
      <w:rFonts w:ascii="仿宋" w:hAnsi="仿宋" w:eastAsia="黑体" w:cstheme="minorBidi"/>
      <w:bCs/>
      <w:kern w:val="2"/>
      <w:sz w:val="32"/>
      <w:szCs w:val="32"/>
    </w:rPr>
  </w:style>
  <w:style w:type="character" w:customStyle="1" w:styleId="60">
    <w:name w:val="1.1.1 Char"/>
    <w:basedOn w:val="26"/>
    <w:link w:val="59"/>
    <w:qFormat/>
    <w:uiPriority w:val="0"/>
    <w:rPr>
      <w:rFonts w:ascii="仿宋" w:hAnsi="仿宋" w:eastAsia="黑体" w:cstheme="minorBidi"/>
      <w:bCs/>
      <w:kern w:val="2"/>
      <w:sz w:val="32"/>
      <w:szCs w:val="32"/>
    </w:rPr>
  </w:style>
  <w:style w:type="paragraph" w:customStyle="1" w:styleId="61">
    <w:name w:val="正文1"/>
    <w:basedOn w:val="1"/>
    <w:link w:val="62"/>
    <w:qFormat/>
    <w:uiPriority w:val="0"/>
    <w:pPr>
      <w:widowControl w:val="0"/>
      <w:spacing w:line="360" w:lineRule="auto"/>
      <w:ind w:firstLine="602" w:firstLineChars="200"/>
      <w:jc w:val="both"/>
    </w:pPr>
    <w:rPr>
      <w:rFonts w:ascii="仿宋" w:hAnsi="仿宋" w:eastAsia="仿宋" w:cs="仿宋_GB2312"/>
      <w:kern w:val="2"/>
      <w:sz w:val="32"/>
      <w:szCs w:val="30"/>
    </w:rPr>
  </w:style>
  <w:style w:type="character" w:customStyle="1" w:styleId="62">
    <w:name w:val="正文1 Char"/>
    <w:basedOn w:val="26"/>
    <w:link w:val="61"/>
    <w:qFormat/>
    <w:uiPriority w:val="0"/>
    <w:rPr>
      <w:rFonts w:ascii="仿宋" w:hAnsi="仿宋" w:eastAsia="仿宋" w:cs="仿宋_GB2312"/>
      <w:sz w:val="32"/>
      <w:szCs w:val="30"/>
    </w:rPr>
  </w:style>
  <w:style w:type="paragraph" w:customStyle="1" w:styleId="63">
    <w:name w:val="1.1.1.1"/>
    <w:basedOn w:val="1"/>
    <w:link w:val="64"/>
    <w:qFormat/>
    <w:uiPriority w:val="0"/>
    <w:pPr>
      <w:widowControl w:val="0"/>
      <w:spacing w:line="360" w:lineRule="auto"/>
      <w:ind w:firstLine="560" w:firstLineChars="200"/>
      <w:jc w:val="both"/>
      <w:outlineLvl w:val="2"/>
    </w:pPr>
    <w:rPr>
      <w:rFonts w:ascii="黑体" w:hAnsi="黑体" w:eastAsia="仿宋" w:cs="仿宋"/>
      <w:b/>
      <w:kern w:val="2"/>
      <w:sz w:val="32"/>
      <w:szCs w:val="28"/>
    </w:rPr>
  </w:style>
  <w:style w:type="character" w:customStyle="1" w:styleId="64">
    <w:name w:val="1.1.1.1 Char"/>
    <w:basedOn w:val="26"/>
    <w:link w:val="63"/>
    <w:qFormat/>
    <w:uiPriority w:val="0"/>
    <w:rPr>
      <w:rFonts w:ascii="黑体" w:hAnsi="黑体" w:eastAsia="仿宋" w:cs="仿宋"/>
      <w:b/>
      <w:sz w:val="32"/>
      <w:szCs w:val="28"/>
    </w:rPr>
  </w:style>
  <w:style w:type="paragraph" w:customStyle="1" w:styleId="65">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paragraph" w:customStyle="1" w:styleId="66">
    <w:name w:val="修订1"/>
    <w:hidden/>
    <w:semiHidden/>
    <w:qFormat/>
    <w:uiPriority w:val="99"/>
    <w:rPr>
      <w:rFonts w:ascii="Times New Roman" w:hAnsi="Times New Roman" w:cs="Times New Roman" w:eastAsiaTheme="minorEastAsia"/>
      <w:sz w:val="24"/>
      <w:szCs w:val="24"/>
      <w:lang w:val="en-US" w:eastAsia="zh-CN" w:bidi="ar-SA"/>
    </w:rPr>
  </w:style>
  <w:style w:type="paragraph" w:customStyle="1" w:styleId="67">
    <w:name w:val="p1"/>
    <w:basedOn w:val="1"/>
    <w:qFormat/>
    <w:uiPriority w:val="0"/>
    <w:rPr>
      <w:rFonts w:ascii="仿宋" w:hAnsi="仿宋" w:eastAsia="仿宋"/>
    </w:rPr>
  </w:style>
  <w:style w:type="paragraph" w:customStyle="1" w:styleId="68">
    <w:name w:val="p2"/>
    <w:basedOn w:val="1"/>
    <w:qFormat/>
    <w:uiPriority w:val="0"/>
    <w:rPr>
      <w:rFonts w:eastAsia="宋体"/>
      <w:sz w:val="14"/>
      <w:szCs w:val="14"/>
    </w:rPr>
  </w:style>
  <w:style w:type="character" w:customStyle="1" w:styleId="69">
    <w:name w:val="s1"/>
    <w:basedOn w:val="26"/>
    <w:qFormat/>
    <w:uiPriority w:val="0"/>
    <w:rPr>
      <w:rFonts w:hint="eastAsia" w:ascii="楷体" w:hAnsi="楷体" w:eastAsia="楷体"/>
      <w:sz w:val="24"/>
      <w:szCs w:val="24"/>
    </w:rPr>
  </w:style>
  <w:style w:type="character" w:customStyle="1" w:styleId="70">
    <w:name w:val="apple-converted-space"/>
    <w:basedOn w:val="26"/>
    <w:qFormat/>
    <w:uiPriority w:val="0"/>
  </w:style>
  <w:style w:type="character" w:customStyle="1" w:styleId="71">
    <w:name w:val="s2"/>
    <w:basedOn w:val="26"/>
    <w:qFormat/>
    <w:uiPriority w:val="0"/>
    <w:rPr>
      <w:rFonts w:hint="default" w:ascii="Times New Roman" w:hAnsi="Times New Roman" w:cs="Times New Roman"/>
      <w:sz w:val="24"/>
      <w:szCs w:val="24"/>
    </w:rPr>
  </w:style>
  <w:style w:type="character" w:customStyle="1" w:styleId="72">
    <w:name w:val="文字主体 Char"/>
    <w:link w:val="73"/>
    <w:qFormat/>
    <w:uiPriority w:val="0"/>
    <w:rPr>
      <w:kern w:val="2"/>
      <w:sz w:val="24"/>
      <w:szCs w:val="24"/>
    </w:rPr>
  </w:style>
  <w:style w:type="paragraph" w:customStyle="1" w:styleId="73">
    <w:name w:val="文字主体"/>
    <w:basedOn w:val="1"/>
    <w:link w:val="72"/>
    <w:qFormat/>
    <w:uiPriority w:val="0"/>
    <w:pPr>
      <w:widowControl w:val="0"/>
      <w:adjustRightInd w:val="0"/>
      <w:snapToGrid w:val="0"/>
      <w:spacing w:beforeLines="50" w:afterLines="50" w:line="360" w:lineRule="auto"/>
      <w:ind w:firstLine="200" w:firstLineChars="200"/>
      <w:jc w:val="both"/>
    </w:pPr>
    <w:rPr>
      <w:rFonts w:eastAsia="宋体"/>
      <w:kern w:val="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0.jpe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jpe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871AAE45-95B9-4964-B961-82546F81089E}">
  <ds:schemaRefs/>
</ds:datastoreItem>
</file>

<file path=docProps/app.xml><?xml version="1.0" encoding="utf-8"?>
<Properties xmlns="http://schemas.openxmlformats.org/officeDocument/2006/extended-properties" xmlns:vt="http://schemas.openxmlformats.org/officeDocument/2006/docPropsVTypes">
  <Template>Normal.dotm</Template>
  <Company>Sysceo.com</Company>
  <Pages>62</Pages>
  <Words>18769</Words>
  <Characters>20885</Characters>
  <Lines>187</Lines>
  <Paragraphs>52</Paragraphs>
  <TotalTime>15</TotalTime>
  <ScaleCrop>false</ScaleCrop>
  <LinksUpToDate>false</LinksUpToDate>
  <CharactersWithSpaces>21204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2022-04-27T08:06:00Z</dcterms:created>
  <dc:creator>MM</dc:creator>
  <cp:lastModifiedBy>殇</cp:lastModifiedBy>
  <cp:lastPrinted>2022-04-27T06:46:00Z</cp:lastPrinted>
  <dcterms:modified xsi:type="dcterms:W3CDTF">2022-06-28T03:41:02Z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commondata">
    <vt:lpwstr>eyJoZGlkIjoiMDUyYjBhNDg2ZjNhYzFjOWFmZWM5ODYzNGFhOTk5MjcifQ==</vt:lpwstr>
  </property>
  <property fmtid="{D5CDD505-2E9C-101B-9397-08002B2CF9AE}" pid="4" name="ICV">
    <vt:lpwstr>A01691298FD243CBB399F8C12A1910B2</vt:lpwstr>
  </property>
</Properties>
</file>