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both"/>
        <w:rPr>
          <w:rFonts w:hint="eastAsia" w:ascii="方正小标宋简体" w:hAnsi="方正小标宋简体"/>
          <w:b w:val="0"/>
          <w:bCs w:val="0"/>
          <w:sz w:val="44"/>
          <w:szCs w:val="44"/>
        </w:rPr>
      </w:pPr>
      <w:r>
        <w:rPr>
          <w:rFonts w:hint="eastAsia" w:ascii="黑体" w:hAnsi="黑体" w:eastAsia="黑体"/>
          <w:b w:val="0"/>
          <w:bCs w:val="0"/>
        </w:rPr>
        <w:t>附件2</w:t>
      </w:r>
      <w:r>
        <w:rPr>
          <w:rFonts w:ascii="方正小标宋简体" w:hAnsi="方正小标宋简体"/>
          <w:b w:val="0"/>
          <w:bCs w:val="0"/>
          <w:sz w:val="44"/>
          <w:szCs w:val="44"/>
        </w:rPr>
        <w:t xml:space="preserve"> </w:t>
      </w:r>
    </w:p>
    <w:p>
      <w:pPr>
        <w:pStyle w:val="3"/>
        <w:spacing w:before="0" w:after="0" w:line="560" w:lineRule="exact"/>
        <w:rPr>
          <w:rFonts w:hint="eastAsia" w:ascii="方正小标宋简体" w:hAnsi="方正小标宋简体" w:eastAsia="方正小标宋简体" w:cs="方正小标宋简体"/>
          <w:b w:val="0"/>
          <w:bCs w:val="0"/>
          <w:sz w:val="44"/>
          <w:szCs w:val="44"/>
        </w:rPr>
      </w:pPr>
    </w:p>
    <w:p>
      <w:pPr>
        <w:pStyle w:val="3"/>
        <w:spacing w:before="0" w:after="0" w:line="560" w:lineRule="exact"/>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“跨省通办”全程网办操作指南（样本）</w:t>
      </w:r>
    </w:p>
    <w:p>
      <w:pPr>
        <w:spacing w:line="560" w:lineRule="exact"/>
        <w:ind w:firstLine="632"/>
        <w:jc w:val="center"/>
      </w:pPr>
      <w:r>
        <w:t xml:space="preserve"> </w:t>
      </w:r>
    </w:p>
    <w:p>
      <w:pPr>
        <w:pStyle w:val="2"/>
        <w:pageBreakBefore w:val="0"/>
        <w:kinsoku/>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b w:val="0"/>
          <w:bCs w:val="0"/>
          <w:sz w:val="32"/>
          <w:szCs w:val="32"/>
        </w:rPr>
      </w:pPr>
      <w:r>
        <w:rPr>
          <w:rFonts w:hint="eastAsia" w:ascii="黑体" w:hAnsi="黑体"/>
          <w:b w:val="0"/>
          <w:bCs w:val="0"/>
          <w:sz w:val="32"/>
          <w:szCs w:val="32"/>
        </w:rPr>
        <w:t>一、事项名称：</w:t>
      </w:r>
      <w:r>
        <w:rPr>
          <w:rFonts w:hint="eastAsia" w:ascii="仿宋_GB2312" w:hAnsi="仿宋_GB2312" w:eastAsia="仿宋_GB2312" w:cs="仿宋_GB2312"/>
          <w:b w:val="0"/>
          <w:bCs w:val="0"/>
          <w:sz w:val="32"/>
          <w:szCs w:val="32"/>
        </w:rPr>
        <w:t>排污许可证核发。</w:t>
      </w:r>
    </w:p>
    <w:p>
      <w:pPr>
        <w:pStyle w:val="2"/>
        <w:pageBreakBefore w:val="0"/>
        <w:kinsoku/>
        <w:overflowPunct/>
        <w:topLinePunct w:val="0"/>
        <w:autoSpaceDE/>
        <w:autoSpaceDN/>
        <w:bidi w:val="0"/>
        <w:adjustRightInd/>
        <w:snapToGrid/>
        <w:spacing w:line="560" w:lineRule="exact"/>
        <w:ind w:firstLine="629"/>
        <w:textAlignment w:val="auto"/>
        <w:rPr>
          <w:rFonts w:ascii="仿宋_GB2312" w:hAnsi="仿宋_GB2312"/>
          <w:b w:val="0"/>
          <w:bCs w:val="0"/>
          <w:sz w:val="32"/>
          <w:szCs w:val="32"/>
        </w:rPr>
      </w:pPr>
      <w:r>
        <w:rPr>
          <w:rFonts w:hint="eastAsia" w:ascii="黑体" w:hAnsi="黑体"/>
          <w:b w:val="0"/>
          <w:bCs w:val="0"/>
          <w:sz w:val="32"/>
          <w:szCs w:val="32"/>
        </w:rPr>
        <w:t>二、办理层级：</w:t>
      </w:r>
      <w:r>
        <w:rPr>
          <w:rFonts w:hint="eastAsia" w:ascii="仿宋_GB2312" w:hAnsi="仿宋_GB2312" w:eastAsia="仿宋_GB2312" w:cs="仿宋_GB2312"/>
          <w:b w:val="0"/>
          <w:bCs w:val="0"/>
          <w:sz w:val="32"/>
          <w:szCs w:val="32"/>
        </w:rPr>
        <w:t>市、县两级。</w:t>
      </w:r>
    </w:p>
    <w:p>
      <w:pPr>
        <w:pStyle w:val="2"/>
        <w:pageBreakBefore w:val="0"/>
        <w:kinsoku/>
        <w:overflowPunct/>
        <w:topLinePunct w:val="0"/>
        <w:autoSpaceDE/>
        <w:autoSpaceDN/>
        <w:bidi w:val="0"/>
        <w:adjustRightInd/>
        <w:snapToGrid/>
        <w:spacing w:line="560" w:lineRule="exact"/>
        <w:ind w:firstLine="629"/>
        <w:textAlignment w:val="auto"/>
        <w:rPr>
          <w:rFonts w:ascii="仿宋_GB2312" w:hAnsi="仿宋_GB2312"/>
          <w:b w:val="0"/>
          <w:bCs w:val="0"/>
          <w:sz w:val="32"/>
          <w:szCs w:val="32"/>
        </w:rPr>
      </w:pPr>
      <w:r>
        <w:rPr>
          <w:rFonts w:hint="eastAsia" w:ascii="黑体" w:hAnsi="黑体"/>
          <w:b w:val="0"/>
          <w:bCs w:val="0"/>
          <w:sz w:val="32"/>
          <w:szCs w:val="32"/>
        </w:rPr>
        <w:t>三、通办方式：</w:t>
      </w:r>
      <w:r>
        <w:rPr>
          <w:rFonts w:hint="eastAsia" w:ascii="仿宋_GB2312" w:hAnsi="仿宋_GB2312" w:eastAsia="仿宋_GB2312" w:cs="仿宋_GB2312"/>
          <w:b w:val="0"/>
          <w:bCs w:val="0"/>
          <w:sz w:val="32"/>
          <w:szCs w:val="32"/>
        </w:rPr>
        <w:t>全程网办。</w:t>
      </w:r>
    </w:p>
    <w:p>
      <w:pPr>
        <w:pStyle w:val="2"/>
        <w:pageBreakBefore w:val="0"/>
        <w:kinsoku/>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黑体" w:hAnsi="黑体"/>
          <w:b w:val="0"/>
          <w:bCs w:val="0"/>
          <w:sz w:val="32"/>
          <w:szCs w:val="32"/>
        </w:rPr>
        <w:t>四、申请条件：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予以受理的条件〕</w:t>
      </w:r>
    </w:p>
    <w:p>
      <w:pPr>
        <w:pageBreakBefore w:val="0"/>
        <w:kinsoku/>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仿宋_GB2312" w:hAnsi="仿宋_GB2312" w:eastAsia="仿宋_GB2312" w:cs="仿宋_GB2312"/>
        </w:rPr>
        <w:t>（一）排放工业废气或者排放国家规定的有毒有害大气污染物的企业事业单位。</w:t>
      </w:r>
    </w:p>
    <w:p>
      <w:pPr>
        <w:pageBreakBefore w:val="0"/>
        <w:kinsoku/>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仿宋_GB2312" w:hAnsi="仿宋_GB2312" w:eastAsia="仿宋_GB2312" w:cs="仿宋_GB2312"/>
        </w:rPr>
        <w:t>（二）集中供热设施的燃煤热源生产运营单位。</w:t>
      </w:r>
    </w:p>
    <w:p>
      <w:pPr>
        <w:pageBreakBefore w:val="0"/>
        <w:kinsoku/>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仿宋_GB2312" w:hAnsi="仿宋_GB2312" w:eastAsia="仿宋_GB2312" w:cs="仿宋_GB2312"/>
        </w:rPr>
        <w:t>（三）直接或间接向水体排放工业废水和医疗污水的企业事业单位。</w:t>
      </w:r>
    </w:p>
    <w:p>
      <w:pPr>
        <w:pageBreakBefore w:val="0"/>
        <w:kinsoku/>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仿宋_GB2312" w:hAnsi="仿宋_GB2312" w:eastAsia="仿宋_GB2312" w:cs="仿宋_GB2312"/>
        </w:rPr>
        <w:t>（四）城镇或工业污水集中处理设施的运营单位。</w:t>
      </w:r>
    </w:p>
    <w:p>
      <w:pPr>
        <w:pageBreakBefore w:val="0"/>
        <w:kinsoku/>
        <w:overflowPunct/>
        <w:topLinePunct w:val="0"/>
        <w:autoSpaceDE/>
        <w:autoSpaceDN/>
        <w:bidi w:val="0"/>
        <w:adjustRightInd/>
        <w:snapToGrid/>
        <w:spacing w:line="560" w:lineRule="exact"/>
        <w:ind w:firstLine="629"/>
        <w:textAlignment w:val="auto"/>
        <w:rPr>
          <w:rFonts w:hAnsi="仿宋_GB2312"/>
        </w:rPr>
      </w:pPr>
      <w:r>
        <w:rPr>
          <w:rFonts w:hint="eastAsia" w:ascii="仿宋_GB2312" w:hAnsi="仿宋_GB2312" w:eastAsia="仿宋_GB2312" w:cs="仿宋_GB2312"/>
        </w:rPr>
        <w:t>（五）依法应当实行排污许可管理的其他排污单位。</w:t>
      </w:r>
    </w:p>
    <w:p>
      <w:pPr>
        <w:pStyle w:val="2"/>
        <w:pageBreakBefore w:val="0"/>
        <w:kinsoku/>
        <w:overflowPunct/>
        <w:topLinePunct w:val="0"/>
        <w:autoSpaceDE/>
        <w:autoSpaceDN/>
        <w:bidi w:val="0"/>
        <w:adjustRightInd/>
        <w:snapToGrid/>
        <w:spacing w:line="560" w:lineRule="exact"/>
        <w:ind w:firstLine="629"/>
        <w:textAlignment w:val="auto"/>
        <w:rPr>
          <w:b w:val="0"/>
          <w:bCs w:val="0"/>
          <w:sz w:val="32"/>
          <w:szCs w:val="32"/>
        </w:rPr>
      </w:pPr>
      <w:r>
        <w:rPr>
          <w:rFonts w:hint="eastAsia" w:ascii="黑体" w:hAnsi="黑体"/>
          <w:b w:val="0"/>
          <w:bCs w:val="0"/>
          <w:sz w:val="32"/>
          <w:szCs w:val="32"/>
        </w:rPr>
        <w:t>五、办理材料：</w:t>
      </w:r>
    </w:p>
    <w:p>
      <w:pPr>
        <w:pageBreakBefore w:val="0"/>
        <w:kinsoku/>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仿宋_GB2312" w:hAnsi="仿宋_GB2312" w:eastAsia="仿宋_GB2312" w:cs="仿宋_GB2312"/>
        </w:rPr>
        <w:t>（一）排污许可证申请表（1</w:t>
      </w:r>
      <w:r>
        <w:rPr>
          <w:rFonts w:hint="eastAsia" w:hAnsi="仿宋_GB2312" w:eastAsia="仿宋_GB2312" w:cs="仿宋_GB2312"/>
          <w:lang w:val="en-US" w:eastAsia="zh-CN"/>
        </w:rPr>
        <w:t>.</w:t>
      </w:r>
      <w:r>
        <w:rPr>
          <w:rFonts w:hint="eastAsia" w:ascii="仿宋_GB2312" w:hAnsi="仿宋_GB2312" w:eastAsia="仿宋_GB2312" w:cs="仿宋_GB2312"/>
        </w:rPr>
        <w:t>国家排污许可管理信息平台（http://permit.mep.gov.cn）进行申请后，打印申请表；2</w:t>
      </w:r>
      <w:r>
        <w:rPr>
          <w:rFonts w:hint="eastAsia" w:hAnsi="仿宋_GB2312" w:eastAsia="仿宋_GB2312" w:cs="仿宋_GB2312"/>
          <w:lang w:val="en-US" w:eastAsia="zh-CN"/>
        </w:rPr>
        <w:t>.</w:t>
      </w:r>
      <w:r>
        <w:rPr>
          <w:rFonts w:hint="eastAsia" w:ascii="仿宋_GB2312" w:hAnsi="仿宋_GB2312" w:eastAsia="仿宋_GB2312" w:cs="仿宋_GB2312"/>
        </w:rPr>
        <w:t>加盖单位公章；3</w:t>
      </w:r>
      <w:r>
        <w:rPr>
          <w:rFonts w:hint="eastAsia" w:hAnsi="仿宋_GB2312" w:eastAsia="仿宋_GB2312" w:cs="仿宋_GB2312"/>
          <w:lang w:val="en-US" w:eastAsia="zh-CN"/>
        </w:rPr>
        <w:t>.</w:t>
      </w:r>
      <w:r>
        <w:rPr>
          <w:rFonts w:hint="eastAsia" w:ascii="仿宋_GB2312" w:hAnsi="仿宋_GB2312" w:eastAsia="仿宋_GB2312" w:cs="仿宋_GB2312"/>
        </w:rPr>
        <w:t>单位法定代表人签字或加盖私章）；</w:t>
      </w:r>
    </w:p>
    <w:p>
      <w:pPr>
        <w:keepNext w:val="0"/>
        <w:keepLines w:val="0"/>
        <w:pageBreakBefore w:val="0"/>
        <w:widowControl w:val="0"/>
        <w:kinsoku/>
        <w:wordWrap w:val="0"/>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仿宋_GB2312" w:hAnsi="仿宋_GB2312" w:eastAsia="仿宋_GB2312" w:cs="仿宋_GB2312"/>
        </w:rPr>
        <w:t>（二）有排污单位法定代表人或者实际负责人签字或盖章的承诺书（国家排污许可管理信息平台（http://permit.mep.gov.cn）下载打印，排污单位法定代表人或者实际负责</w:t>
      </w:r>
      <w:bookmarkStart w:id="0" w:name="_GoBack"/>
      <w:bookmarkEnd w:id="0"/>
      <w:r>
        <w:rPr>
          <w:rFonts w:hint="eastAsia" w:ascii="仿宋_GB2312" w:hAnsi="仿宋_GB2312" w:eastAsia="仿宋_GB2312" w:cs="仿宋_GB2312"/>
        </w:rPr>
        <w:t>人签字或盖章）；</w:t>
      </w:r>
    </w:p>
    <w:p>
      <w:pPr>
        <w:keepNext w:val="0"/>
        <w:keepLines w:val="0"/>
        <w:pageBreakBefore w:val="0"/>
        <w:widowControl w:val="0"/>
        <w:kinsoku/>
        <w:wordWrap w:val="0"/>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仿宋_GB2312" w:hAnsi="仿宋_GB2312" w:eastAsia="仿宋_GB2312" w:cs="仿宋_GB2312"/>
        </w:rPr>
        <w:t>（三）排污单位按照有关要求进行排污口和监测孔规范化设置的情况说明（国家排污许可管理信息平台（http://permit.mep.gov.cn）下载打印）；</w:t>
      </w:r>
    </w:p>
    <w:p>
      <w:pPr>
        <w:keepNext w:val="0"/>
        <w:keepLines w:val="0"/>
        <w:pageBreakBefore w:val="0"/>
        <w:widowControl w:val="0"/>
        <w:kinsoku/>
        <w:wordWrap w:val="0"/>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仿宋_GB2312" w:hAnsi="仿宋_GB2312" w:eastAsia="仿宋_GB2312" w:cs="仿宋_GB2312"/>
        </w:rPr>
        <w:t>（四）建设项目环境影响评价审批文件，或地方政府对违规项目的认定或备案文件（国家排污许可管理信息平台（http://permit.mep.gov.cn）下载打印）；</w:t>
      </w:r>
    </w:p>
    <w:p>
      <w:pPr>
        <w:keepNext w:val="0"/>
        <w:keepLines w:val="0"/>
        <w:pageBreakBefore w:val="0"/>
        <w:widowControl w:val="0"/>
        <w:kinsoku/>
        <w:wordWrap w:val="0"/>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仿宋_GB2312" w:hAnsi="仿宋_GB2312" w:eastAsia="仿宋_GB2312" w:cs="仿宋_GB2312"/>
        </w:rPr>
        <w:t>（五）城镇污水集中处理设施还应提供纳污范围、纳污企业名单、管网布置、最终排放去向等材料（国家排污许可管理信息平台（http://permit.mep.gov.cn）下载打印）。</w:t>
      </w:r>
    </w:p>
    <w:p>
      <w:pPr>
        <w:pStyle w:val="2"/>
        <w:pageBreakBefore w:val="0"/>
        <w:kinsoku/>
        <w:overflowPunct/>
        <w:topLinePunct w:val="0"/>
        <w:autoSpaceDE/>
        <w:autoSpaceDN/>
        <w:bidi w:val="0"/>
        <w:adjustRightInd/>
        <w:snapToGrid/>
        <w:spacing w:line="560" w:lineRule="exact"/>
        <w:ind w:firstLine="629"/>
        <w:textAlignment w:val="auto"/>
        <w:rPr>
          <w:rFonts w:ascii="仿宋_GB2312" w:hAnsi="仿宋_GB2312"/>
          <w:b w:val="0"/>
          <w:bCs w:val="0"/>
          <w:sz w:val="32"/>
          <w:szCs w:val="32"/>
        </w:rPr>
      </w:pPr>
      <w:r>
        <w:rPr>
          <w:rFonts w:hint="eastAsia" w:ascii="黑体" w:hAnsi="黑体"/>
          <w:b w:val="0"/>
          <w:bCs w:val="0"/>
          <w:sz w:val="32"/>
          <w:szCs w:val="32"/>
        </w:rPr>
        <w:t>六、办理方式：</w:t>
      </w:r>
    </w:p>
    <w:p>
      <w:pPr>
        <w:keepNext w:val="0"/>
        <w:keepLines w:val="0"/>
        <w:pageBreakBefore w:val="0"/>
        <w:widowControl w:val="0"/>
        <w:kinsoku/>
        <w:wordWrap w:val="0"/>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仿宋_GB2312" w:hAnsi="仿宋_GB2312" w:eastAsia="仿宋_GB2312" w:cs="仿宋_GB2312"/>
        </w:rPr>
        <w:t>申请人登录安徽政务服务网（https://www.ahzwfw.gov.cn/），进入“跨省通办”服务专区，找到排污许可事项并进行线上办理。</w:t>
      </w:r>
    </w:p>
    <w:p>
      <w:pPr>
        <w:pageBreakBefore w:val="0"/>
        <w:kinsoku/>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仿宋_GB2312" w:hAnsi="仿宋_GB2312" w:eastAsia="仿宋_GB2312" w:cs="仿宋_GB2312"/>
        </w:rPr>
        <w:t>同时，为便于不会使用智能手机的群众办事，该事项可通过异地代收代办方式满足群众异地办事需求。申请人携带相关材料就近到政务服务中心“跨省通办”专窗办理即可。</w:t>
      </w:r>
    </w:p>
    <w:p>
      <w:pPr>
        <w:pStyle w:val="2"/>
        <w:pageBreakBefore w:val="0"/>
        <w:kinsoku/>
        <w:overflowPunct/>
        <w:topLinePunct w:val="0"/>
        <w:autoSpaceDE/>
        <w:autoSpaceDN/>
        <w:bidi w:val="0"/>
        <w:adjustRightInd/>
        <w:snapToGrid/>
        <w:spacing w:line="560" w:lineRule="exact"/>
        <w:ind w:firstLine="629"/>
        <w:textAlignment w:val="auto"/>
        <w:rPr>
          <w:rFonts w:ascii="仿宋_GB2312" w:hAnsi="仿宋_GB2312"/>
          <w:b w:val="0"/>
          <w:bCs w:val="0"/>
          <w:sz w:val="32"/>
          <w:szCs w:val="32"/>
        </w:rPr>
      </w:pPr>
      <w:r>
        <w:rPr>
          <w:rFonts w:hint="eastAsia" w:ascii="黑体" w:hAnsi="黑体"/>
          <w:b w:val="0"/>
          <w:bCs w:val="0"/>
          <w:sz w:val="32"/>
          <w:szCs w:val="32"/>
        </w:rPr>
        <w:t>七、受理模式：</w:t>
      </w:r>
    </w:p>
    <w:p>
      <w:pPr>
        <w:pageBreakBefore w:val="0"/>
        <w:kinsoku/>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仿宋_GB2312" w:hAnsi="仿宋_GB2312" w:eastAsia="仿宋_GB2312" w:cs="仿宋_GB2312"/>
        </w:rPr>
        <w:t>在线提交申请的，相关材料直接进入后台进行审批。</w:t>
      </w:r>
    </w:p>
    <w:p>
      <w:pPr>
        <w:pStyle w:val="2"/>
        <w:pageBreakBefore w:val="0"/>
        <w:kinsoku/>
        <w:overflowPunct/>
        <w:topLinePunct w:val="0"/>
        <w:autoSpaceDE/>
        <w:autoSpaceDN/>
        <w:bidi w:val="0"/>
        <w:adjustRightInd/>
        <w:snapToGrid/>
        <w:spacing w:line="560" w:lineRule="exact"/>
        <w:ind w:firstLine="629"/>
        <w:textAlignment w:val="auto"/>
        <w:rPr>
          <w:rFonts w:ascii="仿宋_GB2312" w:hAnsi="仿宋_GB2312"/>
          <w:b w:val="0"/>
          <w:bCs w:val="0"/>
          <w:sz w:val="32"/>
          <w:szCs w:val="32"/>
        </w:rPr>
      </w:pPr>
      <w:r>
        <w:rPr>
          <w:rFonts w:hint="eastAsia" w:ascii="黑体" w:hAnsi="黑体"/>
          <w:b w:val="0"/>
          <w:bCs w:val="0"/>
          <w:sz w:val="32"/>
          <w:szCs w:val="32"/>
        </w:rPr>
        <w:t>八、审核程序：</w:t>
      </w:r>
    </w:p>
    <w:p>
      <w:pPr>
        <w:pageBreakBefore w:val="0"/>
        <w:kinsoku/>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仿宋_GB2312" w:hAnsi="仿宋_GB2312" w:eastAsia="仿宋_GB2312" w:cs="仿宋_GB2312"/>
        </w:rPr>
        <w:t>1.“受理地”生态环境保护部门对国家排污许可管理信息平台转来的申请人信息及材料进行初审。</w:t>
      </w:r>
    </w:p>
    <w:p>
      <w:pPr>
        <w:pageBreakBefore w:val="0"/>
        <w:kinsoku/>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仿宋_GB2312" w:hAnsi="仿宋_GB2312" w:eastAsia="仿宋_GB2312" w:cs="仿宋_GB2312"/>
        </w:rPr>
        <w:t>2.符合条件、材料齐全的予以受理。</w:t>
      </w:r>
    </w:p>
    <w:p>
      <w:pPr>
        <w:pageBreakBefore w:val="0"/>
        <w:kinsoku/>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仿宋_GB2312" w:hAnsi="仿宋_GB2312" w:eastAsia="仿宋_GB2312" w:cs="仿宋_GB2312"/>
        </w:rPr>
        <w:t>3.经办机构审核，审核通过或不通过，由国家排污许可管理信息平台予以告知。</w:t>
      </w:r>
    </w:p>
    <w:p>
      <w:pPr>
        <w:pageBreakBefore w:val="0"/>
        <w:kinsoku/>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rPr>
      </w:pPr>
      <w:r>
        <w:rPr>
          <w:rFonts w:hint="eastAsia" w:ascii="仿宋_GB2312" w:hAnsi="仿宋_GB2312" w:eastAsia="仿宋_GB2312" w:cs="仿宋_GB2312"/>
        </w:rPr>
        <w:t>4.审核通过予以业务办结。</w:t>
      </w:r>
    </w:p>
    <w:p>
      <w:pPr>
        <w:pStyle w:val="2"/>
        <w:pageBreakBefore w:val="0"/>
        <w:kinsoku/>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b w:val="0"/>
          <w:bCs w:val="0"/>
          <w:sz w:val="32"/>
          <w:szCs w:val="32"/>
        </w:rPr>
      </w:pPr>
      <w:r>
        <w:rPr>
          <w:rFonts w:hint="eastAsia" w:ascii="黑体" w:hAnsi="黑体"/>
          <w:b w:val="0"/>
          <w:bCs w:val="0"/>
          <w:sz w:val="32"/>
          <w:szCs w:val="32"/>
        </w:rPr>
        <w:t>九、办理时限：</w:t>
      </w:r>
      <w:r>
        <w:rPr>
          <w:rFonts w:hint="eastAsia" w:ascii="仿宋_GB2312" w:hAnsi="仿宋_GB2312" w:eastAsia="仿宋_GB2312" w:cs="仿宋_GB2312"/>
          <w:b w:val="0"/>
          <w:bCs w:val="0"/>
          <w:sz w:val="32"/>
          <w:szCs w:val="32"/>
        </w:rPr>
        <w:t>2个工作日。</w:t>
      </w:r>
    </w:p>
    <w:p>
      <w:pPr>
        <w:pStyle w:val="2"/>
        <w:pageBreakBefore w:val="0"/>
        <w:kinsoku/>
        <w:overflowPunct/>
        <w:topLinePunct w:val="0"/>
        <w:autoSpaceDE/>
        <w:autoSpaceDN/>
        <w:bidi w:val="0"/>
        <w:adjustRightInd/>
        <w:snapToGrid/>
        <w:spacing w:line="560" w:lineRule="exact"/>
        <w:ind w:firstLine="629"/>
        <w:textAlignment w:val="auto"/>
        <w:rPr>
          <w:rFonts w:hint="eastAsia" w:ascii="仿宋_GB2312" w:hAnsi="仿宋_GB2312" w:eastAsia="仿宋_GB2312" w:cs="仿宋_GB2312"/>
          <w:b w:val="0"/>
          <w:bCs w:val="0"/>
          <w:sz w:val="32"/>
          <w:szCs w:val="32"/>
        </w:rPr>
      </w:pPr>
      <w:r>
        <w:rPr>
          <w:rFonts w:hint="eastAsia" w:ascii="黑体" w:hAnsi="黑体"/>
          <w:b w:val="0"/>
          <w:bCs w:val="0"/>
          <w:sz w:val="32"/>
          <w:szCs w:val="32"/>
        </w:rPr>
        <w:t>十、办理结果反馈：</w:t>
      </w:r>
      <w:r>
        <w:rPr>
          <w:rFonts w:hint="eastAsia" w:ascii="仿宋_GB2312" w:hAnsi="仿宋_GB2312" w:eastAsia="仿宋_GB2312" w:cs="仿宋_GB2312"/>
          <w:b w:val="0"/>
          <w:bCs w:val="0"/>
          <w:sz w:val="32"/>
          <w:szCs w:val="32"/>
        </w:rPr>
        <w:t>申请人可登录国家排污许可管理信息平台查询办理结果。</w:t>
      </w:r>
    </w:p>
    <w:p>
      <w:pPr>
        <w:pageBreakBefore w:val="0"/>
        <w:kinsoku/>
        <w:overflowPunct/>
        <w:topLinePunct w:val="0"/>
        <w:autoSpaceDE/>
        <w:autoSpaceDN/>
        <w:bidi w:val="0"/>
        <w:adjustRightInd/>
        <w:snapToGrid/>
        <w:spacing w:line="560" w:lineRule="exact"/>
        <w:ind w:firstLine="629"/>
        <w:textAlignment w:val="auto"/>
        <w:rPr>
          <w:rFonts w:hint="eastAsia" w:ascii="黑体" w:hAnsi="黑体" w:eastAsia="黑体" w:cs="黑体"/>
        </w:rPr>
      </w:pPr>
      <w:r>
        <w:rPr>
          <w:rFonts w:hint="eastAsia" w:ascii="黑体" w:hAnsi="黑体" w:eastAsia="黑体" w:cs="黑体"/>
        </w:rPr>
        <w:t>十一、是否收费：</w:t>
      </w:r>
      <w:r>
        <w:rPr>
          <w:rFonts w:hint="eastAsia" w:ascii="仿宋_GB2312" w:hAnsi="仿宋_GB2312" w:eastAsia="仿宋_GB2312" w:cs="仿宋_GB2312"/>
        </w:rPr>
        <w:t>否。</w:t>
      </w:r>
    </w:p>
    <w:p>
      <w:pPr>
        <w:pageBreakBefore w:val="0"/>
        <w:widowControl/>
        <w:kinsoku/>
        <w:overflowPunct/>
        <w:topLinePunct w:val="0"/>
        <w:autoSpaceDE/>
        <w:autoSpaceDN/>
        <w:bidi w:val="0"/>
        <w:adjustRightInd/>
        <w:snapToGrid/>
        <w:spacing w:line="560" w:lineRule="exact"/>
        <w:textAlignment w:val="auto"/>
        <w:rPr>
          <w:rFonts w:ascii="黑体" w:hAnsi="黑体" w:eastAsia="黑体" w:cs="方正小标宋简体"/>
          <w:kern w:val="0"/>
        </w:rPr>
      </w:pPr>
      <w:r>
        <w:rPr>
          <w:rFonts w:hint="eastAsia" w:ascii="黑体" w:hAnsi="黑体" w:eastAsia="黑体" w:cs="方正小标宋简体"/>
          <w:kern w:val="0"/>
        </w:rPr>
        <w:t xml:space="preserve"> </w:t>
      </w:r>
    </w:p>
    <w:p/>
    <w:sectPr>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597B65"/>
    <w:rsid w:val="08D52CC9"/>
    <w:rsid w:val="16597B65"/>
    <w:rsid w:val="1C1070CE"/>
    <w:rsid w:val="3B742174"/>
    <w:rsid w:val="424F3944"/>
    <w:rsid w:val="4BB804F9"/>
    <w:rsid w:val="5F954EFB"/>
    <w:rsid w:val="651C47BF"/>
    <w:rsid w:val="79830E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宋体" w:cs="宋体"/>
      <w:kern w:val="2"/>
      <w:sz w:val="32"/>
      <w:szCs w:val="32"/>
      <w:lang w:val="en-US" w:eastAsia="zh-CN" w:bidi="ar-SA"/>
    </w:rPr>
  </w:style>
  <w:style w:type="paragraph" w:styleId="2">
    <w:name w:val="heading 2"/>
    <w:basedOn w:val="1"/>
    <w:next w:val="1"/>
    <w:qFormat/>
    <w:uiPriority w:val="99"/>
    <w:pPr>
      <w:keepNext/>
      <w:keepLines/>
      <w:outlineLvl w:val="1"/>
    </w:pPr>
    <w:rPr>
      <w:rFonts w:ascii="Calibri Light" w:hAnsi="Calibri Light" w:eastAsia="黑体"/>
      <w:sz w:val="21"/>
      <w:szCs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Title"/>
    <w:basedOn w:val="1"/>
    <w:next w:val="1"/>
    <w:qFormat/>
    <w:uiPriority w:val="99"/>
    <w:pPr>
      <w:spacing w:before="240" w:after="60"/>
      <w:jc w:val="center"/>
      <w:outlineLvl w:val="0"/>
    </w:pPr>
    <w:rPr>
      <w:rFonts w:ascii="Cambria" w:hAnsi="Cambria"/>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2021-03-16T07:31:00Z</dcterms:created>
  <dc:creator>Administrator</dc:creator>
  <cp:lastModifiedBy>康康</cp:lastModifiedBy>
  <dcterms:modified xsi:type="dcterms:W3CDTF">2021-05-13T03:19:09Z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