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D76505">
      <w:pPr>
        <w:widowControl/>
        <w:shd w:val="clear" w:color="auto" w:fill="FFFFFF"/>
        <w:spacing w:line="580" w:lineRule="exact"/>
        <w:ind w:firstLine="0" w:firstLineChars="0"/>
        <w:jc w:val="center"/>
        <w:rPr>
          <w:rFonts w:ascii="Times New Roman" w:hAnsi="Times New Roman" w:eastAsia="黑体"/>
          <w:b/>
          <w:bCs/>
          <w:sz w:val="36"/>
          <w:szCs w:val="36"/>
        </w:rPr>
      </w:pPr>
    </w:p>
    <w:p w14:paraId="5468E923">
      <w:pPr>
        <w:widowControl/>
        <w:shd w:val="clear" w:color="auto" w:fill="FFFFFF"/>
        <w:spacing w:line="580" w:lineRule="exact"/>
        <w:ind w:left="188" w:leftChars="67" w:firstLine="0" w:firstLineChars="0"/>
        <w:jc w:val="center"/>
        <w:rPr>
          <w:rFonts w:ascii="Times New Roman" w:hAnsi="Times New Roman" w:eastAsia="黑体"/>
          <w:b/>
          <w:bCs/>
          <w:sz w:val="36"/>
          <w:szCs w:val="36"/>
        </w:rPr>
      </w:pPr>
    </w:p>
    <w:p w14:paraId="182A7BBD">
      <w:pPr>
        <w:widowControl/>
        <w:shd w:val="clear" w:color="auto" w:fill="FFFFFF"/>
        <w:spacing w:line="580" w:lineRule="exact"/>
        <w:ind w:firstLine="0" w:firstLineChars="0"/>
        <w:jc w:val="center"/>
        <w:rPr>
          <w:rFonts w:ascii="Times New Roman" w:hAnsi="Times New Roman" w:eastAsia="黑体"/>
          <w:b/>
          <w:bCs/>
          <w:sz w:val="36"/>
          <w:szCs w:val="36"/>
        </w:rPr>
      </w:pPr>
      <w:bookmarkStart w:id="34" w:name="_GoBack"/>
      <w:bookmarkEnd w:id="34"/>
    </w:p>
    <w:p w14:paraId="4867FFE9">
      <w:pPr>
        <w:widowControl/>
        <w:shd w:val="clear" w:color="auto" w:fill="FFFFFF"/>
        <w:spacing w:line="580" w:lineRule="exact"/>
        <w:ind w:firstLine="0" w:firstLineChars="0"/>
        <w:jc w:val="center"/>
        <w:rPr>
          <w:rFonts w:ascii="Times New Roman" w:hAnsi="Times New Roman" w:eastAsia="黑体"/>
          <w:b/>
          <w:bCs/>
          <w:sz w:val="44"/>
          <w:szCs w:val="52"/>
        </w:rPr>
      </w:pPr>
      <w:r>
        <w:rPr>
          <w:rFonts w:ascii="Times New Roman" w:hAnsi="Times New Roman" w:eastAsia="黑体"/>
          <w:b/>
          <w:bCs/>
          <w:sz w:val="36"/>
          <w:szCs w:val="44"/>
        </w:rPr>
        <w:t>青阳县新河镇十里岗片区土地征收成片开发方案（2025年调整）</w:t>
      </w:r>
    </w:p>
    <w:p w14:paraId="147BB3BB">
      <w:pPr>
        <w:widowControl/>
        <w:shd w:val="clear" w:color="auto" w:fill="FFFFFF"/>
        <w:spacing w:line="580" w:lineRule="exact"/>
        <w:ind w:left="-566" w:leftChars="-202" w:firstLine="0" w:firstLineChars="0"/>
        <w:jc w:val="center"/>
        <w:rPr>
          <w:rFonts w:ascii="Times New Roman" w:hAnsi="Times New Roman" w:eastAsia="黑体"/>
          <w:b/>
          <w:bCs/>
          <w:sz w:val="36"/>
          <w:szCs w:val="36"/>
        </w:rPr>
      </w:pPr>
      <w:r>
        <w:rPr>
          <w:rFonts w:ascii="Times New Roman" w:hAnsi="Times New Roman" w:eastAsia="黑体"/>
          <w:b/>
          <w:bCs/>
          <w:sz w:val="36"/>
          <w:szCs w:val="36"/>
        </w:rPr>
        <w:t>（编号：</w:t>
      </w:r>
      <w:r>
        <w:rPr>
          <w:rFonts w:ascii="Times New Roman" w:hAnsi="Times New Roman" w:eastAsia="黑体"/>
          <w:b/>
          <w:bCs/>
          <w:sz w:val="36"/>
          <w:szCs w:val="36"/>
          <w:u w:val="single"/>
        </w:rPr>
        <w:t>CZQY341723-2022-2</w:t>
      </w:r>
      <w:r>
        <w:rPr>
          <w:rFonts w:ascii="Times New Roman" w:hAnsi="Times New Roman" w:eastAsia="黑体"/>
          <w:b/>
          <w:bCs/>
          <w:sz w:val="36"/>
          <w:szCs w:val="36"/>
        </w:rPr>
        <w:t>）</w:t>
      </w:r>
    </w:p>
    <w:p w14:paraId="25C0E53E">
      <w:pPr>
        <w:widowControl/>
        <w:shd w:val="clear" w:color="auto" w:fill="FFFFFF"/>
        <w:spacing w:line="580" w:lineRule="exact"/>
        <w:ind w:firstLine="0" w:firstLineChars="0"/>
        <w:jc w:val="center"/>
        <w:rPr>
          <w:rFonts w:hint="eastAsia" w:ascii="Times New Roman" w:hAnsi="Times New Roman" w:eastAsia="仿宋"/>
          <w:b/>
          <w:sz w:val="36"/>
          <w:szCs w:val="36"/>
          <w:lang w:val="en-US" w:eastAsia="zh-CN"/>
        </w:rPr>
      </w:pPr>
      <w:r>
        <w:rPr>
          <w:rFonts w:hint="eastAsia" w:ascii="Times New Roman" w:hAnsi="Times New Roman"/>
          <w:b/>
          <w:sz w:val="36"/>
          <w:szCs w:val="36"/>
          <w:lang w:val="en-US" w:eastAsia="zh-CN"/>
        </w:rPr>
        <w:t>(征求意见稿）</w:t>
      </w:r>
    </w:p>
    <w:p w14:paraId="3E6C97D4">
      <w:pPr>
        <w:widowControl/>
        <w:shd w:val="clear" w:color="auto" w:fill="FFFFFF"/>
        <w:spacing w:line="580" w:lineRule="exact"/>
        <w:ind w:firstLine="0" w:firstLineChars="0"/>
        <w:jc w:val="center"/>
        <w:rPr>
          <w:rFonts w:ascii="Times New Roman" w:hAnsi="Times New Roman"/>
          <w:b/>
          <w:sz w:val="36"/>
          <w:szCs w:val="36"/>
        </w:rPr>
      </w:pPr>
    </w:p>
    <w:p w14:paraId="4A602FD3">
      <w:pPr>
        <w:widowControl/>
        <w:shd w:val="clear" w:color="auto" w:fill="FFFFFF"/>
        <w:spacing w:line="580" w:lineRule="exact"/>
        <w:ind w:firstLine="0" w:firstLineChars="0"/>
        <w:jc w:val="center"/>
        <w:rPr>
          <w:rFonts w:ascii="Times New Roman" w:hAnsi="Times New Roman"/>
          <w:b/>
          <w:sz w:val="36"/>
          <w:szCs w:val="36"/>
        </w:rPr>
      </w:pPr>
    </w:p>
    <w:p w14:paraId="12BCBD94">
      <w:pPr>
        <w:widowControl/>
        <w:shd w:val="clear" w:color="auto" w:fill="FFFFFF"/>
        <w:spacing w:line="580" w:lineRule="exact"/>
        <w:ind w:firstLine="0" w:firstLineChars="0"/>
        <w:jc w:val="center"/>
        <w:rPr>
          <w:rFonts w:ascii="Times New Roman" w:hAnsi="Times New Roman"/>
          <w:b/>
          <w:sz w:val="36"/>
          <w:szCs w:val="36"/>
        </w:rPr>
      </w:pPr>
    </w:p>
    <w:p w14:paraId="3A0CA29C">
      <w:pPr>
        <w:widowControl/>
        <w:shd w:val="clear" w:color="auto" w:fill="FFFFFF"/>
        <w:spacing w:line="580" w:lineRule="exact"/>
        <w:ind w:firstLine="0" w:firstLineChars="0"/>
        <w:jc w:val="center"/>
        <w:rPr>
          <w:rFonts w:ascii="Times New Roman" w:hAnsi="Times New Roman"/>
          <w:b/>
          <w:sz w:val="36"/>
          <w:szCs w:val="36"/>
        </w:rPr>
      </w:pPr>
    </w:p>
    <w:p w14:paraId="0942ABAD">
      <w:pPr>
        <w:widowControl/>
        <w:shd w:val="clear" w:color="auto" w:fill="FFFFFF"/>
        <w:spacing w:line="580" w:lineRule="exact"/>
        <w:ind w:firstLine="0" w:firstLineChars="0"/>
        <w:jc w:val="center"/>
        <w:rPr>
          <w:rFonts w:ascii="Times New Roman" w:hAnsi="Times New Roman"/>
          <w:b/>
          <w:sz w:val="36"/>
          <w:szCs w:val="36"/>
        </w:rPr>
      </w:pPr>
    </w:p>
    <w:p w14:paraId="07CAEA20">
      <w:pPr>
        <w:widowControl/>
        <w:shd w:val="clear" w:color="auto" w:fill="FFFFFF"/>
        <w:spacing w:line="580" w:lineRule="exact"/>
        <w:ind w:firstLine="0" w:firstLineChars="0"/>
        <w:jc w:val="center"/>
        <w:rPr>
          <w:rFonts w:ascii="Times New Roman" w:hAnsi="Times New Roman"/>
          <w:b/>
          <w:sz w:val="36"/>
          <w:szCs w:val="36"/>
        </w:rPr>
      </w:pPr>
    </w:p>
    <w:p w14:paraId="24E2E74D">
      <w:pPr>
        <w:widowControl/>
        <w:shd w:val="clear" w:color="auto" w:fill="FFFFFF"/>
        <w:spacing w:line="580" w:lineRule="exact"/>
        <w:ind w:firstLine="0" w:firstLineChars="0"/>
        <w:jc w:val="center"/>
        <w:rPr>
          <w:rFonts w:ascii="Times New Roman" w:hAnsi="Times New Roman"/>
          <w:b/>
          <w:sz w:val="36"/>
          <w:szCs w:val="36"/>
        </w:rPr>
      </w:pPr>
    </w:p>
    <w:p w14:paraId="185DAE7E">
      <w:pPr>
        <w:widowControl/>
        <w:shd w:val="clear" w:color="auto" w:fill="FFFFFF"/>
        <w:spacing w:line="580" w:lineRule="exact"/>
        <w:ind w:firstLine="0" w:firstLineChars="0"/>
        <w:jc w:val="center"/>
        <w:rPr>
          <w:rFonts w:ascii="Times New Roman" w:hAnsi="Times New Roman"/>
          <w:b/>
          <w:sz w:val="36"/>
          <w:szCs w:val="36"/>
        </w:rPr>
      </w:pPr>
    </w:p>
    <w:p w14:paraId="7678701B">
      <w:pPr>
        <w:widowControl/>
        <w:shd w:val="clear" w:color="auto" w:fill="FFFFFF"/>
        <w:spacing w:line="580" w:lineRule="exact"/>
        <w:ind w:firstLine="0" w:firstLineChars="0"/>
        <w:jc w:val="center"/>
        <w:rPr>
          <w:rFonts w:ascii="Times New Roman" w:hAnsi="Times New Roman"/>
          <w:b/>
          <w:sz w:val="36"/>
          <w:szCs w:val="36"/>
        </w:rPr>
      </w:pPr>
    </w:p>
    <w:p w14:paraId="07083DE2">
      <w:pPr>
        <w:widowControl/>
        <w:shd w:val="clear" w:color="auto" w:fill="FFFFFF"/>
        <w:spacing w:line="580" w:lineRule="exact"/>
        <w:ind w:firstLine="0" w:firstLineChars="0"/>
        <w:jc w:val="center"/>
        <w:rPr>
          <w:rFonts w:ascii="Times New Roman" w:hAnsi="Times New Roman" w:eastAsia="黑体"/>
          <w:b/>
          <w:sz w:val="36"/>
          <w:szCs w:val="36"/>
        </w:rPr>
      </w:pPr>
    </w:p>
    <w:p w14:paraId="08232987">
      <w:pPr>
        <w:widowControl/>
        <w:shd w:val="clear" w:color="auto" w:fill="FFFFFF"/>
        <w:spacing w:line="580" w:lineRule="exact"/>
        <w:ind w:firstLine="0" w:firstLineChars="0"/>
        <w:rPr>
          <w:rFonts w:ascii="Times New Roman" w:hAnsi="Times New Roman" w:eastAsia="黑体"/>
          <w:b/>
          <w:sz w:val="24"/>
        </w:rPr>
      </w:pPr>
    </w:p>
    <w:p w14:paraId="1DF8469D">
      <w:pPr>
        <w:widowControl/>
        <w:shd w:val="clear" w:color="auto" w:fill="FFFFFF"/>
        <w:spacing w:line="580" w:lineRule="exact"/>
        <w:ind w:firstLine="0" w:firstLineChars="0"/>
        <w:jc w:val="center"/>
        <w:rPr>
          <w:rFonts w:ascii="Times New Roman" w:hAnsi="Times New Roman" w:eastAsia="黑体"/>
          <w:b/>
          <w:sz w:val="36"/>
          <w:szCs w:val="36"/>
        </w:rPr>
      </w:pPr>
    </w:p>
    <w:p w14:paraId="14E2B8B8">
      <w:pPr>
        <w:widowControl/>
        <w:shd w:val="clear" w:color="auto" w:fill="FFFFFF"/>
        <w:spacing w:line="580" w:lineRule="exact"/>
        <w:ind w:firstLine="0" w:firstLineChars="0"/>
        <w:jc w:val="center"/>
        <w:rPr>
          <w:rFonts w:ascii="Times New Roman" w:hAnsi="Times New Roman" w:eastAsia="黑体"/>
          <w:b/>
          <w:sz w:val="36"/>
          <w:szCs w:val="36"/>
        </w:rPr>
      </w:pPr>
    </w:p>
    <w:p w14:paraId="453188F6">
      <w:pPr>
        <w:widowControl/>
        <w:shd w:val="clear" w:color="auto" w:fill="FFFFFF"/>
        <w:spacing w:line="580" w:lineRule="exact"/>
        <w:ind w:firstLine="0" w:firstLineChars="0"/>
        <w:jc w:val="center"/>
        <w:rPr>
          <w:rFonts w:ascii="Times New Roman" w:hAnsi="Times New Roman" w:eastAsia="黑体"/>
          <w:b/>
          <w:sz w:val="36"/>
          <w:szCs w:val="36"/>
        </w:rPr>
      </w:pPr>
      <w:r>
        <w:rPr>
          <w:rFonts w:ascii="Times New Roman" w:hAnsi="Times New Roman" w:eastAsia="黑体"/>
          <w:b/>
          <w:sz w:val="36"/>
          <w:szCs w:val="36"/>
        </w:rPr>
        <w:t>青阳县人民政府</w:t>
      </w:r>
    </w:p>
    <w:p w14:paraId="7C46680B">
      <w:pPr>
        <w:widowControl/>
        <w:shd w:val="clear" w:color="auto" w:fill="FFFFFF"/>
        <w:spacing w:line="580" w:lineRule="exact"/>
        <w:ind w:firstLine="0" w:firstLineChars="0"/>
        <w:jc w:val="center"/>
        <w:rPr>
          <w:rFonts w:ascii="Times New Roman" w:hAnsi="Times New Roman" w:eastAsia="黑体"/>
          <w:b/>
          <w:sz w:val="36"/>
          <w:szCs w:val="36"/>
        </w:rPr>
      </w:pPr>
      <w:r>
        <w:rPr>
          <w:rFonts w:ascii="Times New Roman" w:hAnsi="Times New Roman" w:eastAsia="黑体"/>
          <w:b/>
          <w:sz w:val="36"/>
          <w:szCs w:val="36"/>
        </w:rPr>
        <w:t>二〇二五年八月</w:t>
      </w:r>
    </w:p>
    <w:p w14:paraId="52F50A0F">
      <w:pPr>
        <w:ind w:firstLine="0" w:firstLineChars="0"/>
        <w:rPr>
          <w:rFonts w:ascii="Times New Roman" w:hAnsi="Times New Roma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p>
    <w:sdt>
      <w:sdtPr>
        <w:rPr>
          <w:rFonts w:ascii="Times New Roman" w:hAnsi="Times New Roman" w:eastAsia="仿宋" w:cs="Times New Roman"/>
          <w:b w:val="0"/>
          <w:bCs w:val="0"/>
          <w:color w:val="auto"/>
          <w:kern w:val="2"/>
          <w:szCs w:val="24"/>
          <w:lang w:val="zh-CN"/>
        </w:rPr>
        <w:id w:val="-1186974667"/>
        <w:docPartObj>
          <w:docPartGallery w:val="Table of Contents"/>
          <w:docPartUnique/>
        </w:docPartObj>
      </w:sdtPr>
      <w:sdtEndPr>
        <w:rPr>
          <w:rFonts w:ascii="Times New Roman" w:hAnsi="Times New Roman" w:eastAsia="仿宋" w:cs="Times New Roman"/>
          <w:b w:val="0"/>
          <w:bCs w:val="0"/>
          <w:color w:val="auto"/>
          <w:kern w:val="2"/>
          <w:szCs w:val="24"/>
          <w:lang w:val="zh-CN"/>
        </w:rPr>
      </w:sdtEndPr>
      <w:sdtContent>
        <w:p w14:paraId="09AD2A19">
          <w:pPr>
            <w:pStyle w:val="50"/>
            <w:adjustRightInd w:val="0"/>
            <w:snapToGrid w:val="0"/>
            <w:jc w:val="center"/>
            <w:rPr>
              <w:rFonts w:ascii="Times New Roman" w:hAnsi="Times New Roman" w:eastAsia="仿宋_GB2312" w:cs="Times New Roman"/>
              <w:color w:val="auto"/>
            </w:rPr>
          </w:pPr>
          <w:r>
            <w:rPr>
              <w:rFonts w:ascii="Times New Roman" w:hAnsi="Times New Roman" w:eastAsia="仿宋_GB2312" w:cs="Times New Roman"/>
              <w:color w:val="auto"/>
              <w:lang w:val="zh-CN"/>
            </w:rPr>
            <w:t>目录</w:t>
          </w:r>
        </w:p>
        <w:p w14:paraId="5187A29C">
          <w:pPr>
            <w:pStyle w:val="12"/>
            <w:rPr>
              <w:rFonts w:ascii="Times New Roman" w:hAnsi="Times New Roman" w:eastAsiaTheme="minorEastAsia"/>
              <w:sz w:val="21"/>
              <w:szCs w:val="22"/>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fldChar w:fldCharType="begin"/>
          </w:r>
          <w:r>
            <w:instrText xml:space="preserve"> HYPERLINK \l "_Toc207347456" </w:instrText>
          </w:r>
          <w:r>
            <w:fldChar w:fldCharType="separate"/>
          </w:r>
          <w:r>
            <w:rPr>
              <w:rStyle w:val="21"/>
              <w:rFonts w:ascii="Times New Roman" w:hAnsi="Times New Roman"/>
            </w:rPr>
            <w:t>一、 成片开发方案的调整说明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_Toc207347456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5515C8FC">
          <w:pPr>
            <w:pStyle w:val="13"/>
            <w:rPr>
              <w:rFonts w:ascii="Times New Roman" w:hAnsi="Times New Roman" w:eastAsiaTheme="minorEastAsia"/>
              <w:sz w:val="21"/>
              <w:szCs w:val="22"/>
            </w:rPr>
          </w:pPr>
          <w:r>
            <w:fldChar w:fldCharType="begin"/>
          </w:r>
          <w:r>
            <w:instrText xml:space="preserve"> HYPERLINK \l "_Toc207347457" </w:instrText>
          </w:r>
          <w:r>
            <w:fldChar w:fldCharType="separate"/>
          </w:r>
          <w:r>
            <w:rPr>
              <w:rStyle w:val="21"/>
              <w:rFonts w:ascii="Times New Roman" w:hAnsi="Times New Roman"/>
            </w:rPr>
            <w:t>1. 调整背景</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_Toc207347457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769F7CBB">
          <w:pPr>
            <w:pStyle w:val="13"/>
            <w:rPr>
              <w:rFonts w:ascii="Times New Roman" w:hAnsi="Times New Roman" w:eastAsiaTheme="minorEastAsia"/>
              <w:sz w:val="21"/>
              <w:szCs w:val="22"/>
            </w:rPr>
          </w:pPr>
          <w:r>
            <w:fldChar w:fldCharType="begin"/>
          </w:r>
          <w:r>
            <w:instrText xml:space="preserve"> HYPERLINK \l "_Toc207347458" </w:instrText>
          </w:r>
          <w:r>
            <w:fldChar w:fldCharType="separate"/>
          </w:r>
          <w:r>
            <w:rPr>
              <w:rStyle w:val="21"/>
              <w:rFonts w:ascii="Times New Roman" w:hAnsi="Times New Roman"/>
            </w:rPr>
            <w:t>2. 原方案批准及执行情况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_Toc207347458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413AC343">
          <w:pPr>
            <w:pStyle w:val="13"/>
            <w:rPr>
              <w:rFonts w:ascii="Times New Roman" w:hAnsi="Times New Roman" w:eastAsiaTheme="minorEastAsia"/>
              <w:sz w:val="21"/>
              <w:szCs w:val="22"/>
            </w:rPr>
          </w:pPr>
          <w:r>
            <w:fldChar w:fldCharType="begin"/>
          </w:r>
          <w:r>
            <w:instrText xml:space="preserve"> HYPERLINK \l "_Toc207347459" </w:instrText>
          </w:r>
          <w:r>
            <w:fldChar w:fldCharType="separate"/>
          </w:r>
          <w:r>
            <w:rPr>
              <w:rStyle w:val="21"/>
              <w:rFonts w:ascii="Times New Roman" w:hAnsi="Times New Roman"/>
            </w:rPr>
            <w:t>3. 调整必要性</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_Toc207347459 \h </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r>
            <w:rPr>
              <w:rFonts w:ascii="Times New Roman" w:hAnsi="Times New Roman"/>
            </w:rPr>
            <w:fldChar w:fldCharType="end"/>
          </w:r>
        </w:p>
        <w:p w14:paraId="79C208DB">
          <w:pPr>
            <w:pStyle w:val="13"/>
            <w:rPr>
              <w:rFonts w:ascii="Times New Roman" w:hAnsi="Times New Roman" w:eastAsiaTheme="minorEastAsia"/>
              <w:sz w:val="21"/>
              <w:szCs w:val="22"/>
            </w:rPr>
          </w:pPr>
          <w:r>
            <w:fldChar w:fldCharType="begin"/>
          </w:r>
          <w:r>
            <w:instrText xml:space="preserve"> HYPERLINK \l "_Toc207347460" </w:instrText>
          </w:r>
          <w:r>
            <w:fldChar w:fldCharType="separate"/>
          </w:r>
          <w:r>
            <w:rPr>
              <w:rStyle w:val="21"/>
              <w:rFonts w:ascii="Times New Roman" w:hAnsi="Times New Roman"/>
            </w:rPr>
            <w:t>4. 调整内容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_Toc207347460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0C7C41F5">
          <w:pPr>
            <w:pStyle w:val="12"/>
            <w:rPr>
              <w:rFonts w:ascii="Times New Roman" w:hAnsi="Times New Roman" w:eastAsiaTheme="minorEastAsia"/>
              <w:sz w:val="21"/>
              <w:szCs w:val="22"/>
            </w:rPr>
          </w:pPr>
          <w:r>
            <w:fldChar w:fldCharType="begin"/>
          </w:r>
          <w:r>
            <w:instrText xml:space="preserve"> HYPERLINK \l "_Toc207347461" </w:instrText>
          </w:r>
          <w:r>
            <w:fldChar w:fldCharType="separate"/>
          </w:r>
          <w:r>
            <w:rPr>
              <w:rStyle w:val="21"/>
              <w:rFonts w:ascii="Times New Roman" w:hAnsi="Times New Roman"/>
            </w:rPr>
            <w:t>二、 成片开发的位置、面积、范围和基础设施条件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_Toc207347461 \h </w:instrText>
          </w:r>
          <w:r>
            <w:rPr>
              <w:rFonts w:ascii="Times New Roman" w:hAnsi="Times New Roman"/>
            </w:rPr>
            <w:fldChar w:fldCharType="separate"/>
          </w:r>
          <w:r>
            <w:rPr>
              <w:rFonts w:ascii="Times New Roman" w:hAnsi="Times New Roman"/>
            </w:rPr>
            <w:t>7</w:t>
          </w:r>
          <w:r>
            <w:rPr>
              <w:rFonts w:ascii="Times New Roman" w:hAnsi="Times New Roman"/>
            </w:rPr>
            <w:fldChar w:fldCharType="end"/>
          </w:r>
          <w:r>
            <w:rPr>
              <w:rFonts w:ascii="Times New Roman" w:hAnsi="Times New Roman"/>
            </w:rPr>
            <w:fldChar w:fldCharType="end"/>
          </w:r>
        </w:p>
        <w:p w14:paraId="6D639FA1">
          <w:pPr>
            <w:pStyle w:val="13"/>
            <w:rPr>
              <w:rFonts w:ascii="Times New Roman" w:hAnsi="Times New Roman" w:eastAsiaTheme="minorEastAsia"/>
              <w:sz w:val="21"/>
              <w:szCs w:val="22"/>
            </w:rPr>
          </w:pPr>
          <w:r>
            <w:fldChar w:fldCharType="begin"/>
          </w:r>
          <w:r>
            <w:instrText xml:space="preserve"> HYPERLINK \l "_Toc207347462" </w:instrText>
          </w:r>
          <w:r>
            <w:fldChar w:fldCharType="separate"/>
          </w:r>
          <w:r>
            <w:rPr>
              <w:rStyle w:val="21"/>
              <w:rFonts w:ascii="Times New Roman" w:hAnsi="Times New Roman"/>
            </w:rPr>
            <w:t>5. 片区位置、面积、范围</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_Toc207347462 \h </w:instrText>
          </w:r>
          <w:r>
            <w:rPr>
              <w:rFonts w:ascii="Times New Roman" w:hAnsi="Times New Roman"/>
            </w:rPr>
            <w:fldChar w:fldCharType="separate"/>
          </w:r>
          <w:r>
            <w:rPr>
              <w:rFonts w:ascii="Times New Roman" w:hAnsi="Times New Roman"/>
            </w:rPr>
            <w:t>7</w:t>
          </w:r>
          <w:r>
            <w:rPr>
              <w:rFonts w:ascii="Times New Roman" w:hAnsi="Times New Roman"/>
            </w:rPr>
            <w:fldChar w:fldCharType="end"/>
          </w:r>
          <w:r>
            <w:rPr>
              <w:rFonts w:ascii="Times New Roman" w:hAnsi="Times New Roman"/>
            </w:rPr>
            <w:fldChar w:fldCharType="end"/>
          </w:r>
        </w:p>
        <w:p w14:paraId="537B8D87">
          <w:pPr>
            <w:pStyle w:val="13"/>
            <w:rPr>
              <w:rFonts w:ascii="Times New Roman" w:hAnsi="Times New Roman" w:eastAsiaTheme="minorEastAsia"/>
              <w:sz w:val="21"/>
              <w:szCs w:val="22"/>
            </w:rPr>
          </w:pPr>
          <w:r>
            <w:fldChar w:fldCharType="begin"/>
          </w:r>
          <w:r>
            <w:instrText xml:space="preserve"> HYPERLINK \l "_Toc207347463" </w:instrText>
          </w:r>
          <w:r>
            <w:fldChar w:fldCharType="separate"/>
          </w:r>
          <w:r>
            <w:rPr>
              <w:rStyle w:val="21"/>
              <w:rFonts w:ascii="Times New Roman" w:hAnsi="Times New Roman"/>
            </w:rPr>
            <w:t>6. 基础设施条件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_Toc207347463 \h </w:instrText>
          </w:r>
          <w:r>
            <w:rPr>
              <w:rFonts w:ascii="Times New Roman" w:hAnsi="Times New Roman"/>
            </w:rPr>
            <w:fldChar w:fldCharType="separate"/>
          </w:r>
          <w:r>
            <w:rPr>
              <w:rFonts w:ascii="Times New Roman" w:hAnsi="Times New Roman"/>
            </w:rPr>
            <w:t>10</w:t>
          </w:r>
          <w:r>
            <w:rPr>
              <w:rFonts w:ascii="Times New Roman" w:hAnsi="Times New Roman"/>
            </w:rPr>
            <w:fldChar w:fldCharType="end"/>
          </w:r>
          <w:r>
            <w:rPr>
              <w:rFonts w:ascii="Times New Roman" w:hAnsi="Times New Roman"/>
            </w:rPr>
            <w:fldChar w:fldCharType="end"/>
          </w:r>
        </w:p>
        <w:p w14:paraId="637275CA">
          <w:pPr>
            <w:pStyle w:val="12"/>
            <w:rPr>
              <w:rFonts w:ascii="Times New Roman" w:hAnsi="Times New Roman" w:eastAsiaTheme="minorEastAsia"/>
              <w:sz w:val="21"/>
              <w:szCs w:val="22"/>
            </w:rPr>
          </w:pPr>
          <w:r>
            <w:fldChar w:fldCharType="begin"/>
          </w:r>
          <w:r>
            <w:instrText xml:space="preserve"> HYPERLINK \l "_Toc207347464" </w:instrText>
          </w:r>
          <w:r>
            <w:fldChar w:fldCharType="separate"/>
          </w:r>
          <w:r>
            <w:rPr>
              <w:rStyle w:val="21"/>
              <w:rFonts w:ascii="Times New Roman" w:hAnsi="Times New Roman"/>
            </w:rPr>
            <w:t>三、 成片开发的必要性、主要用途和实现的功能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_Toc207347464 \h </w:instrText>
          </w:r>
          <w:r>
            <w:rPr>
              <w:rFonts w:ascii="Times New Roman" w:hAnsi="Times New Roman"/>
            </w:rPr>
            <w:fldChar w:fldCharType="separate"/>
          </w:r>
          <w:r>
            <w:rPr>
              <w:rFonts w:ascii="Times New Roman" w:hAnsi="Times New Roman"/>
            </w:rPr>
            <w:t>20</w:t>
          </w:r>
          <w:r>
            <w:rPr>
              <w:rFonts w:ascii="Times New Roman" w:hAnsi="Times New Roman"/>
            </w:rPr>
            <w:fldChar w:fldCharType="end"/>
          </w:r>
          <w:r>
            <w:rPr>
              <w:rFonts w:ascii="Times New Roman" w:hAnsi="Times New Roman"/>
            </w:rPr>
            <w:fldChar w:fldCharType="end"/>
          </w:r>
        </w:p>
        <w:p w14:paraId="0D959B5F">
          <w:pPr>
            <w:pStyle w:val="13"/>
            <w:rPr>
              <w:rFonts w:ascii="Times New Roman" w:hAnsi="Times New Roman" w:eastAsiaTheme="minorEastAsia"/>
              <w:sz w:val="21"/>
              <w:szCs w:val="22"/>
            </w:rPr>
          </w:pPr>
          <w:r>
            <w:fldChar w:fldCharType="begin"/>
          </w:r>
          <w:r>
            <w:instrText xml:space="preserve"> HYPERLINK \l "_Toc207347465" </w:instrText>
          </w:r>
          <w:r>
            <w:fldChar w:fldCharType="separate"/>
          </w:r>
          <w:r>
            <w:rPr>
              <w:rStyle w:val="21"/>
              <w:rFonts w:ascii="Times New Roman" w:hAnsi="Times New Roman"/>
            </w:rPr>
            <w:t>7. 必要性</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_Toc207347465 \h </w:instrText>
          </w:r>
          <w:r>
            <w:rPr>
              <w:rFonts w:ascii="Times New Roman" w:hAnsi="Times New Roman"/>
            </w:rPr>
            <w:fldChar w:fldCharType="separate"/>
          </w:r>
          <w:r>
            <w:rPr>
              <w:rFonts w:ascii="Times New Roman" w:hAnsi="Times New Roman"/>
            </w:rPr>
            <w:t>20</w:t>
          </w:r>
          <w:r>
            <w:rPr>
              <w:rFonts w:ascii="Times New Roman" w:hAnsi="Times New Roman"/>
            </w:rPr>
            <w:fldChar w:fldCharType="end"/>
          </w:r>
          <w:r>
            <w:rPr>
              <w:rFonts w:ascii="Times New Roman" w:hAnsi="Times New Roman"/>
            </w:rPr>
            <w:fldChar w:fldCharType="end"/>
          </w:r>
        </w:p>
        <w:p w14:paraId="6783879B">
          <w:pPr>
            <w:pStyle w:val="13"/>
            <w:rPr>
              <w:rFonts w:ascii="Times New Roman" w:hAnsi="Times New Roman" w:eastAsiaTheme="minorEastAsia"/>
              <w:sz w:val="21"/>
              <w:szCs w:val="22"/>
            </w:rPr>
          </w:pPr>
          <w:r>
            <w:fldChar w:fldCharType="begin"/>
          </w:r>
          <w:r>
            <w:instrText xml:space="preserve"> HYPERLINK \l "_Toc207347466" </w:instrText>
          </w:r>
          <w:r>
            <w:fldChar w:fldCharType="separate"/>
          </w:r>
          <w:r>
            <w:rPr>
              <w:rStyle w:val="21"/>
              <w:rFonts w:ascii="Times New Roman" w:hAnsi="Times New Roman"/>
            </w:rPr>
            <w:t>8. 主要用途</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_Toc207347466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636B740F">
          <w:pPr>
            <w:pStyle w:val="13"/>
            <w:rPr>
              <w:rFonts w:ascii="Times New Roman" w:hAnsi="Times New Roman" w:eastAsiaTheme="minorEastAsia"/>
              <w:sz w:val="21"/>
              <w:szCs w:val="22"/>
            </w:rPr>
          </w:pPr>
          <w:r>
            <w:fldChar w:fldCharType="begin"/>
          </w:r>
          <w:r>
            <w:instrText xml:space="preserve"> HYPERLINK \l "_Toc207347467" </w:instrText>
          </w:r>
          <w:r>
            <w:fldChar w:fldCharType="separate"/>
          </w:r>
          <w:r>
            <w:rPr>
              <w:rStyle w:val="21"/>
              <w:rFonts w:ascii="Times New Roman" w:hAnsi="Times New Roman"/>
            </w:rPr>
            <w:t>9. 拟实现的功能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_Toc207347467 \h </w:instrText>
          </w:r>
          <w:r>
            <w:rPr>
              <w:rFonts w:ascii="Times New Roman" w:hAnsi="Times New Roman"/>
            </w:rPr>
            <w:fldChar w:fldCharType="separate"/>
          </w:r>
          <w:r>
            <w:rPr>
              <w:rFonts w:ascii="Times New Roman" w:hAnsi="Times New Roman"/>
            </w:rPr>
            <w:t>23</w:t>
          </w:r>
          <w:r>
            <w:rPr>
              <w:rFonts w:ascii="Times New Roman" w:hAnsi="Times New Roman"/>
            </w:rPr>
            <w:fldChar w:fldCharType="end"/>
          </w:r>
          <w:r>
            <w:rPr>
              <w:rFonts w:ascii="Times New Roman" w:hAnsi="Times New Roman"/>
            </w:rPr>
            <w:fldChar w:fldCharType="end"/>
          </w:r>
        </w:p>
        <w:p w14:paraId="594AAEC6">
          <w:pPr>
            <w:pStyle w:val="12"/>
            <w:rPr>
              <w:rFonts w:ascii="Times New Roman" w:hAnsi="Times New Roman" w:eastAsiaTheme="minorEastAsia"/>
              <w:sz w:val="21"/>
              <w:szCs w:val="22"/>
            </w:rPr>
          </w:pPr>
          <w:r>
            <w:fldChar w:fldCharType="begin"/>
          </w:r>
          <w:r>
            <w:instrText xml:space="preserve"> HYPERLINK \l "_Toc207347468" </w:instrText>
          </w:r>
          <w:r>
            <w:fldChar w:fldCharType="separate"/>
          </w:r>
          <w:r>
            <w:rPr>
              <w:rStyle w:val="21"/>
              <w:rFonts w:ascii="Times New Roman" w:hAnsi="Times New Roman"/>
            </w:rPr>
            <w:t>四、 成片开发拟安排的建设项目、开发时序和年度实施计划</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_Toc207347468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14:paraId="0D475D36">
          <w:pPr>
            <w:pStyle w:val="13"/>
            <w:rPr>
              <w:rFonts w:ascii="Times New Roman" w:hAnsi="Times New Roman" w:eastAsiaTheme="minorEastAsia"/>
              <w:sz w:val="21"/>
              <w:szCs w:val="22"/>
            </w:rPr>
          </w:pPr>
          <w:r>
            <w:fldChar w:fldCharType="begin"/>
          </w:r>
          <w:r>
            <w:instrText xml:space="preserve"> HYPERLINK \l "_Toc207347469" </w:instrText>
          </w:r>
          <w:r>
            <w:fldChar w:fldCharType="separate"/>
          </w:r>
          <w:r>
            <w:rPr>
              <w:rStyle w:val="21"/>
              <w:rFonts w:ascii="Times New Roman" w:hAnsi="Times New Roman"/>
            </w:rPr>
            <w:t>10. 拟安排的建设项目</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_Toc207347469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14:paraId="51DF6430">
          <w:pPr>
            <w:pStyle w:val="13"/>
            <w:rPr>
              <w:rFonts w:ascii="Times New Roman" w:hAnsi="Times New Roman" w:eastAsiaTheme="minorEastAsia"/>
              <w:sz w:val="21"/>
              <w:szCs w:val="22"/>
            </w:rPr>
          </w:pPr>
          <w:r>
            <w:fldChar w:fldCharType="begin"/>
          </w:r>
          <w:r>
            <w:instrText xml:space="preserve"> HYPERLINK \l "_Toc207347470" </w:instrText>
          </w:r>
          <w:r>
            <w:fldChar w:fldCharType="separate"/>
          </w:r>
          <w:r>
            <w:rPr>
              <w:rStyle w:val="21"/>
              <w:rFonts w:ascii="Times New Roman" w:hAnsi="Times New Roman"/>
            </w:rPr>
            <w:t>11. 年度实施计划</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_Toc207347470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01A31027">
          <w:pPr>
            <w:pStyle w:val="12"/>
            <w:rPr>
              <w:rFonts w:ascii="Times New Roman" w:hAnsi="Times New Roman" w:eastAsiaTheme="minorEastAsia"/>
              <w:sz w:val="21"/>
              <w:szCs w:val="22"/>
            </w:rPr>
          </w:pPr>
          <w:r>
            <w:fldChar w:fldCharType="begin"/>
          </w:r>
          <w:r>
            <w:instrText xml:space="preserve"> HYPERLINK \l "_Toc207347471" </w:instrText>
          </w:r>
          <w:r>
            <w:fldChar w:fldCharType="separate"/>
          </w:r>
          <w:r>
            <w:rPr>
              <w:rStyle w:val="21"/>
              <w:rFonts w:ascii="Times New Roman" w:hAnsi="Times New Roman"/>
            </w:rPr>
            <w:t>五、 成片开发范围内基础设施、公共服务设施以及其他公益性用地比例</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_Toc207347471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77BAA634">
          <w:pPr>
            <w:pStyle w:val="13"/>
            <w:rPr>
              <w:rFonts w:ascii="Times New Roman" w:hAnsi="Times New Roman" w:eastAsiaTheme="minorEastAsia"/>
              <w:sz w:val="21"/>
              <w:szCs w:val="22"/>
            </w:rPr>
          </w:pPr>
          <w:r>
            <w:fldChar w:fldCharType="begin"/>
          </w:r>
          <w:r>
            <w:instrText xml:space="preserve"> HYPERLINK \l "_Toc207347472" </w:instrText>
          </w:r>
          <w:r>
            <w:fldChar w:fldCharType="separate"/>
          </w:r>
          <w:r>
            <w:rPr>
              <w:rStyle w:val="21"/>
              <w:rFonts w:ascii="Times New Roman" w:hAnsi="Times New Roman"/>
            </w:rPr>
            <w:t>12. 公益性用地比例</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_Toc207347472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50D6C712">
          <w:pPr>
            <w:pStyle w:val="12"/>
            <w:rPr>
              <w:rFonts w:ascii="Times New Roman" w:hAnsi="Times New Roman" w:eastAsiaTheme="minorEastAsia"/>
              <w:sz w:val="21"/>
              <w:szCs w:val="22"/>
            </w:rPr>
          </w:pPr>
          <w:r>
            <w:fldChar w:fldCharType="begin"/>
          </w:r>
          <w:r>
            <w:instrText xml:space="preserve"> HYPERLINK \l "_Toc207347473" </w:instrText>
          </w:r>
          <w:r>
            <w:fldChar w:fldCharType="separate"/>
          </w:r>
          <w:r>
            <w:rPr>
              <w:rStyle w:val="21"/>
              <w:rFonts w:ascii="Times New Roman" w:hAnsi="Times New Roman"/>
            </w:rPr>
            <w:t>六、 成片开发的土地利用效益以及经济、社会、生态效益评估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_Toc207347473 \h </w:instrText>
          </w:r>
          <w:r>
            <w:rPr>
              <w:rFonts w:ascii="Times New Roman" w:hAnsi="Times New Roman"/>
            </w:rPr>
            <w:fldChar w:fldCharType="separate"/>
          </w:r>
          <w:r>
            <w:rPr>
              <w:rFonts w:ascii="Times New Roman" w:hAnsi="Times New Roman"/>
            </w:rPr>
            <w:t>27</w:t>
          </w:r>
          <w:r>
            <w:rPr>
              <w:rFonts w:ascii="Times New Roman" w:hAnsi="Times New Roman"/>
            </w:rPr>
            <w:fldChar w:fldCharType="end"/>
          </w:r>
          <w:r>
            <w:rPr>
              <w:rFonts w:ascii="Times New Roman" w:hAnsi="Times New Roman"/>
            </w:rPr>
            <w:fldChar w:fldCharType="end"/>
          </w:r>
        </w:p>
        <w:p w14:paraId="74717C3E">
          <w:pPr>
            <w:pStyle w:val="13"/>
            <w:rPr>
              <w:rFonts w:ascii="Times New Roman" w:hAnsi="Times New Roman" w:eastAsiaTheme="minorEastAsia"/>
              <w:sz w:val="21"/>
              <w:szCs w:val="22"/>
            </w:rPr>
          </w:pPr>
          <w:r>
            <w:fldChar w:fldCharType="begin"/>
          </w:r>
          <w:r>
            <w:instrText xml:space="preserve"> HYPERLINK \l "_Toc207347474" </w:instrText>
          </w:r>
          <w:r>
            <w:fldChar w:fldCharType="separate"/>
          </w:r>
          <w:r>
            <w:rPr>
              <w:rStyle w:val="21"/>
              <w:rFonts w:ascii="Times New Roman" w:hAnsi="Times New Roman"/>
            </w:rPr>
            <w:t>13. 土地利用效益</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_Toc207347474 \h </w:instrText>
          </w:r>
          <w:r>
            <w:rPr>
              <w:rFonts w:ascii="Times New Roman" w:hAnsi="Times New Roman"/>
            </w:rPr>
            <w:fldChar w:fldCharType="separate"/>
          </w:r>
          <w:r>
            <w:rPr>
              <w:rFonts w:ascii="Times New Roman" w:hAnsi="Times New Roman"/>
            </w:rPr>
            <w:t>27</w:t>
          </w:r>
          <w:r>
            <w:rPr>
              <w:rFonts w:ascii="Times New Roman" w:hAnsi="Times New Roman"/>
            </w:rPr>
            <w:fldChar w:fldCharType="end"/>
          </w:r>
          <w:r>
            <w:rPr>
              <w:rFonts w:ascii="Times New Roman" w:hAnsi="Times New Roman"/>
            </w:rPr>
            <w:fldChar w:fldCharType="end"/>
          </w:r>
        </w:p>
        <w:p w14:paraId="1439D5E2">
          <w:pPr>
            <w:pStyle w:val="13"/>
            <w:rPr>
              <w:rFonts w:ascii="Times New Roman" w:hAnsi="Times New Roman" w:eastAsiaTheme="minorEastAsia"/>
              <w:sz w:val="21"/>
              <w:szCs w:val="22"/>
            </w:rPr>
          </w:pPr>
          <w:r>
            <w:fldChar w:fldCharType="begin"/>
          </w:r>
          <w:r>
            <w:instrText xml:space="preserve"> HYPERLINK \l "_Toc207347475" </w:instrText>
          </w:r>
          <w:r>
            <w:fldChar w:fldCharType="separate"/>
          </w:r>
          <w:r>
            <w:rPr>
              <w:rStyle w:val="21"/>
              <w:rFonts w:ascii="Times New Roman" w:hAnsi="Times New Roman"/>
            </w:rPr>
            <w:t>14. 成片开发的经济效益评估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_Toc207347475 \h </w:instrText>
          </w:r>
          <w:r>
            <w:rPr>
              <w:rFonts w:ascii="Times New Roman" w:hAnsi="Times New Roman"/>
            </w:rPr>
            <w:fldChar w:fldCharType="separate"/>
          </w:r>
          <w:r>
            <w:rPr>
              <w:rFonts w:ascii="Times New Roman" w:hAnsi="Times New Roman"/>
            </w:rPr>
            <w:t>28</w:t>
          </w:r>
          <w:r>
            <w:rPr>
              <w:rFonts w:ascii="Times New Roman" w:hAnsi="Times New Roman"/>
            </w:rPr>
            <w:fldChar w:fldCharType="end"/>
          </w:r>
          <w:r>
            <w:rPr>
              <w:rFonts w:ascii="Times New Roman" w:hAnsi="Times New Roman"/>
            </w:rPr>
            <w:fldChar w:fldCharType="end"/>
          </w:r>
        </w:p>
        <w:p w14:paraId="0E633418">
          <w:pPr>
            <w:pStyle w:val="13"/>
            <w:rPr>
              <w:rFonts w:ascii="Times New Roman" w:hAnsi="Times New Roman" w:eastAsiaTheme="minorEastAsia"/>
              <w:sz w:val="21"/>
              <w:szCs w:val="22"/>
            </w:rPr>
          </w:pPr>
          <w:r>
            <w:fldChar w:fldCharType="begin"/>
          </w:r>
          <w:r>
            <w:instrText xml:space="preserve"> HYPERLINK \l "_Toc207347476" </w:instrText>
          </w:r>
          <w:r>
            <w:fldChar w:fldCharType="separate"/>
          </w:r>
          <w:r>
            <w:rPr>
              <w:rStyle w:val="21"/>
              <w:rFonts w:ascii="Times New Roman" w:hAnsi="Times New Roman"/>
            </w:rPr>
            <w:t>15. 社会效益评估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_Toc207347476 \h </w:instrText>
          </w:r>
          <w:r>
            <w:rPr>
              <w:rFonts w:ascii="Times New Roman" w:hAnsi="Times New Roman"/>
            </w:rPr>
            <w:fldChar w:fldCharType="separate"/>
          </w:r>
          <w:r>
            <w:rPr>
              <w:rFonts w:ascii="Times New Roman" w:hAnsi="Times New Roman"/>
            </w:rPr>
            <w:t>30</w:t>
          </w:r>
          <w:r>
            <w:rPr>
              <w:rFonts w:ascii="Times New Roman" w:hAnsi="Times New Roman"/>
            </w:rPr>
            <w:fldChar w:fldCharType="end"/>
          </w:r>
          <w:r>
            <w:rPr>
              <w:rFonts w:ascii="Times New Roman" w:hAnsi="Times New Roman"/>
            </w:rPr>
            <w:fldChar w:fldCharType="end"/>
          </w:r>
        </w:p>
        <w:p w14:paraId="2BF95C1F">
          <w:pPr>
            <w:pStyle w:val="13"/>
            <w:rPr>
              <w:rFonts w:ascii="Times New Roman" w:hAnsi="Times New Roman" w:eastAsiaTheme="minorEastAsia"/>
              <w:sz w:val="21"/>
              <w:szCs w:val="22"/>
            </w:rPr>
          </w:pPr>
          <w:r>
            <w:fldChar w:fldCharType="begin"/>
          </w:r>
          <w:r>
            <w:instrText xml:space="preserve"> HYPERLINK \l "_Toc207347477" </w:instrText>
          </w:r>
          <w:r>
            <w:fldChar w:fldCharType="separate"/>
          </w:r>
          <w:r>
            <w:rPr>
              <w:rStyle w:val="21"/>
              <w:rFonts w:ascii="Times New Roman" w:hAnsi="Times New Roman"/>
            </w:rPr>
            <w:t>16. 生态效益评估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_Toc207347477 \h </w:instrText>
          </w:r>
          <w:r>
            <w:rPr>
              <w:rFonts w:ascii="Times New Roman" w:hAnsi="Times New Roman"/>
            </w:rPr>
            <w:fldChar w:fldCharType="separate"/>
          </w:r>
          <w:r>
            <w:rPr>
              <w:rFonts w:ascii="Times New Roman" w:hAnsi="Times New Roman"/>
            </w:rPr>
            <w:t>31</w:t>
          </w:r>
          <w:r>
            <w:rPr>
              <w:rFonts w:ascii="Times New Roman" w:hAnsi="Times New Roman"/>
            </w:rPr>
            <w:fldChar w:fldCharType="end"/>
          </w:r>
          <w:r>
            <w:rPr>
              <w:rFonts w:ascii="Times New Roman" w:hAnsi="Times New Roman"/>
            </w:rPr>
            <w:fldChar w:fldCharType="end"/>
          </w:r>
        </w:p>
        <w:p w14:paraId="6BC0861C">
          <w:pPr>
            <w:pStyle w:val="12"/>
            <w:rPr>
              <w:rFonts w:ascii="Times New Roman" w:hAnsi="Times New Roman" w:eastAsiaTheme="minorEastAsia"/>
              <w:sz w:val="21"/>
              <w:szCs w:val="22"/>
            </w:rPr>
          </w:pPr>
          <w:r>
            <w:fldChar w:fldCharType="begin"/>
          </w:r>
          <w:r>
            <w:instrText xml:space="preserve"> HYPERLINK \l "_Toc207347478" </w:instrText>
          </w:r>
          <w:r>
            <w:fldChar w:fldCharType="separate"/>
          </w:r>
          <w:r>
            <w:rPr>
              <w:rStyle w:val="21"/>
              <w:rFonts w:ascii="Times New Roman" w:hAnsi="Times New Roman"/>
            </w:rPr>
            <w:t>七、 其他需要说明的情况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_Toc207347478 \h </w:instrText>
          </w:r>
          <w:r>
            <w:rPr>
              <w:rFonts w:ascii="Times New Roman" w:hAnsi="Times New Roman"/>
            </w:rPr>
            <w:fldChar w:fldCharType="separate"/>
          </w:r>
          <w:r>
            <w:rPr>
              <w:rFonts w:ascii="Times New Roman" w:hAnsi="Times New Roman"/>
            </w:rPr>
            <w:t>32</w:t>
          </w:r>
          <w:r>
            <w:rPr>
              <w:rFonts w:ascii="Times New Roman" w:hAnsi="Times New Roman"/>
            </w:rPr>
            <w:fldChar w:fldCharType="end"/>
          </w:r>
          <w:r>
            <w:rPr>
              <w:rFonts w:ascii="Times New Roman" w:hAnsi="Times New Roman"/>
            </w:rPr>
            <w:fldChar w:fldCharType="end"/>
          </w:r>
        </w:p>
        <w:p w14:paraId="181A7001">
          <w:pPr>
            <w:pStyle w:val="13"/>
            <w:rPr>
              <w:rFonts w:ascii="Times New Roman" w:hAnsi="Times New Roman" w:eastAsiaTheme="minorEastAsia"/>
              <w:sz w:val="21"/>
              <w:szCs w:val="22"/>
            </w:rPr>
          </w:pPr>
          <w:r>
            <w:fldChar w:fldCharType="begin"/>
          </w:r>
          <w:r>
            <w:instrText xml:space="preserve"> HYPERLINK \l "_Toc207347479" </w:instrText>
          </w:r>
          <w:r>
            <w:fldChar w:fldCharType="separate"/>
          </w:r>
          <w:r>
            <w:rPr>
              <w:rStyle w:val="21"/>
              <w:rFonts w:ascii="Times New Roman" w:hAnsi="Times New Roman"/>
            </w:rPr>
            <w:t>17. 规划符合性</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_Toc207347479 \h </w:instrText>
          </w:r>
          <w:r>
            <w:rPr>
              <w:rFonts w:ascii="Times New Roman" w:hAnsi="Times New Roman"/>
            </w:rPr>
            <w:fldChar w:fldCharType="separate"/>
          </w:r>
          <w:r>
            <w:rPr>
              <w:rFonts w:ascii="Times New Roman" w:hAnsi="Times New Roman"/>
            </w:rPr>
            <w:t>32</w:t>
          </w:r>
          <w:r>
            <w:rPr>
              <w:rFonts w:ascii="Times New Roman" w:hAnsi="Times New Roman"/>
            </w:rPr>
            <w:fldChar w:fldCharType="end"/>
          </w:r>
          <w:r>
            <w:rPr>
              <w:rFonts w:ascii="Times New Roman" w:hAnsi="Times New Roman"/>
            </w:rPr>
            <w:fldChar w:fldCharType="end"/>
          </w:r>
        </w:p>
        <w:p w14:paraId="509E1EBF">
          <w:pPr>
            <w:pStyle w:val="13"/>
            <w:rPr>
              <w:rFonts w:ascii="Times New Roman" w:hAnsi="Times New Roman" w:eastAsiaTheme="minorEastAsia"/>
              <w:sz w:val="21"/>
              <w:szCs w:val="22"/>
            </w:rPr>
          </w:pPr>
          <w:r>
            <w:fldChar w:fldCharType="begin"/>
          </w:r>
          <w:r>
            <w:instrText xml:space="preserve"> HYPERLINK \l "_Toc207347480" </w:instrText>
          </w:r>
          <w:r>
            <w:fldChar w:fldCharType="separate"/>
          </w:r>
          <w:r>
            <w:rPr>
              <w:rStyle w:val="21"/>
              <w:rFonts w:ascii="Times New Roman" w:hAnsi="Times New Roman"/>
            </w:rPr>
            <w:t>18. 本地土地节约集约利用情况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_Toc207347480 \h </w:instrText>
          </w:r>
          <w:r>
            <w:rPr>
              <w:rFonts w:ascii="Times New Roman" w:hAnsi="Times New Roman"/>
            </w:rPr>
            <w:fldChar w:fldCharType="separate"/>
          </w:r>
          <w:r>
            <w:rPr>
              <w:rFonts w:ascii="Times New Roman" w:hAnsi="Times New Roman"/>
            </w:rPr>
            <w:t>34</w:t>
          </w:r>
          <w:r>
            <w:rPr>
              <w:rFonts w:ascii="Times New Roman" w:hAnsi="Times New Roman"/>
            </w:rPr>
            <w:fldChar w:fldCharType="end"/>
          </w:r>
          <w:r>
            <w:rPr>
              <w:rFonts w:ascii="Times New Roman" w:hAnsi="Times New Roman"/>
            </w:rPr>
            <w:fldChar w:fldCharType="end"/>
          </w:r>
        </w:p>
        <w:p w14:paraId="0786F2B3">
          <w:pPr>
            <w:pStyle w:val="13"/>
            <w:rPr>
              <w:rFonts w:ascii="Times New Roman" w:hAnsi="Times New Roman" w:eastAsiaTheme="minorEastAsia"/>
              <w:sz w:val="21"/>
              <w:szCs w:val="22"/>
            </w:rPr>
          </w:pPr>
          <w:r>
            <w:fldChar w:fldCharType="begin"/>
          </w:r>
          <w:r>
            <w:instrText xml:space="preserve"> HYPERLINK \l "_Toc207347481" </w:instrText>
          </w:r>
          <w:r>
            <w:fldChar w:fldCharType="separate"/>
          </w:r>
          <w:r>
            <w:rPr>
              <w:rStyle w:val="21"/>
              <w:rFonts w:ascii="Times New Roman" w:hAnsi="Times New Roman"/>
            </w:rPr>
            <w:t>19. 其他有关情况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_Toc207347481 \h </w:instrText>
          </w:r>
          <w:r>
            <w:rPr>
              <w:rFonts w:ascii="Times New Roman" w:hAnsi="Times New Roman"/>
            </w:rPr>
            <w:fldChar w:fldCharType="separate"/>
          </w:r>
          <w:r>
            <w:rPr>
              <w:rFonts w:ascii="Times New Roman" w:hAnsi="Times New Roman"/>
            </w:rPr>
            <w:t>34</w:t>
          </w:r>
          <w:r>
            <w:rPr>
              <w:rFonts w:ascii="Times New Roman" w:hAnsi="Times New Roman"/>
            </w:rPr>
            <w:fldChar w:fldCharType="end"/>
          </w:r>
          <w:r>
            <w:rPr>
              <w:rFonts w:ascii="Times New Roman" w:hAnsi="Times New Roman"/>
            </w:rPr>
            <w:fldChar w:fldCharType="end"/>
          </w:r>
        </w:p>
        <w:p w14:paraId="420B0A0C">
          <w:pPr>
            <w:pStyle w:val="12"/>
            <w:rPr>
              <w:rFonts w:ascii="Times New Roman" w:hAnsi="Times New Roman" w:eastAsiaTheme="minorEastAsia"/>
              <w:sz w:val="21"/>
              <w:szCs w:val="22"/>
            </w:rPr>
          </w:pPr>
          <w:r>
            <w:fldChar w:fldCharType="begin"/>
          </w:r>
          <w:r>
            <w:instrText xml:space="preserve"> HYPERLINK \l "_Toc207347482" </w:instrText>
          </w:r>
          <w:r>
            <w:fldChar w:fldCharType="separate"/>
          </w:r>
          <w:r>
            <w:rPr>
              <w:rStyle w:val="21"/>
              <w:rFonts w:ascii="Times New Roman" w:hAnsi="Times New Roman"/>
            </w:rPr>
            <w:t>附件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_Toc207347482 \h </w:instrText>
          </w:r>
          <w:r>
            <w:rPr>
              <w:rFonts w:ascii="Times New Roman" w:hAnsi="Times New Roman"/>
            </w:rPr>
            <w:fldChar w:fldCharType="separate"/>
          </w:r>
          <w:r>
            <w:rPr>
              <w:rFonts w:ascii="Times New Roman" w:hAnsi="Times New Roman"/>
            </w:rPr>
            <w:t>36</w:t>
          </w:r>
          <w:r>
            <w:rPr>
              <w:rFonts w:ascii="Times New Roman" w:hAnsi="Times New Roman"/>
            </w:rPr>
            <w:fldChar w:fldCharType="end"/>
          </w:r>
          <w:r>
            <w:rPr>
              <w:rFonts w:ascii="Times New Roman" w:hAnsi="Times New Roman"/>
            </w:rPr>
            <w:fldChar w:fldCharType="end"/>
          </w:r>
        </w:p>
        <w:p w14:paraId="43CCA2BB">
          <w:pPr>
            <w:pStyle w:val="13"/>
            <w:rPr>
              <w:rFonts w:ascii="Times New Roman" w:hAnsi="Times New Roman" w:eastAsiaTheme="minorEastAsia"/>
              <w:sz w:val="21"/>
              <w:szCs w:val="22"/>
            </w:rPr>
          </w:pPr>
          <w:r>
            <w:fldChar w:fldCharType="begin"/>
          </w:r>
          <w:r>
            <w:instrText xml:space="preserve"> HYPERLINK \l "_Toc207347483" </w:instrText>
          </w:r>
          <w:r>
            <w:fldChar w:fldCharType="separate"/>
          </w:r>
          <w:r>
            <w:rPr>
              <w:rStyle w:val="21"/>
              <w:rFonts w:ascii="Times New Roman" w:hAnsi="Times New Roman"/>
            </w:rPr>
            <w:t>1.青阳县新河镇十里岗片区（2025年调整）（编号CZQY341723-2022-2）基本情况表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_Toc207347483 \h </w:instrText>
          </w:r>
          <w:r>
            <w:rPr>
              <w:rFonts w:ascii="Times New Roman" w:hAnsi="Times New Roman"/>
            </w:rPr>
            <w:fldChar w:fldCharType="separate"/>
          </w:r>
          <w:r>
            <w:rPr>
              <w:rFonts w:ascii="Times New Roman" w:hAnsi="Times New Roman"/>
            </w:rPr>
            <w:t>36</w:t>
          </w:r>
          <w:r>
            <w:rPr>
              <w:rFonts w:ascii="Times New Roman" w:hAnsi="Times New Roman"/>
            </w:rPr>
            <w:fldChar w:fldCharType="end"/>
          </w:r>
          <w:r>
            <w:rPr>
              <w:rFonts w:ascii="Times New Roman" w:hAnsi="Times New Roman"/>
            </w:rPr>
            <w:fldChar w:fldCharType="end"/>
          </w:r>
        </w:p>
        <w:p w14:paraId="1DDE3D6F">
          <w:pPr>
            <w:pStyle w:val="13"/>
            <w:rPr>
              <w:rFonts w:ascii="Times New Roman" w:hAnsi="Times New Roman" w:eastAsiaTheme="minorEastAsia"/>
              <w:sz w:val="21"/>
              <w:szCs w:val="22"/>
            </w:rPr>
          </w:pPr>
          <w:r>
            <w:fldChar w:fldCharType="begin"/>
          </w:r>
          <w:r>
            <w:instrText xml:space="preserve"> HYPERLINK \l "_Toc207347484" </w:instrText>
          </w:r>
          <w:r>
            <w:fldChar w:fldCharType="separate"/>
          </w:r>
          <w:r>
            <w:rPr>
              <w:rStyle w:val="21"/>
              <w:rFonts w:ascii="Times New Roman" w:hAnsi="Times New Roman"/>
            </w:rPr>
            <w:t>2.青阳县新河镇十里岗片区（2025年调整）（编号CZQY341723-2022-2）位置图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_Toc207347484 \h </w:instrText>
          </w:r>
          <w:r>
            <w:rPr>
              <w:rFonts w:ascii="Times New Roman" w:hAnsi="Times New Roman"/>
            </w:rPr>
            <w:fldChar w:fldCharType="separate"/>
          </w:r>
          <w:r>
            <w:rPr>
              <w:rFonts w:ascii="Times New Roman" w:hAnsi="Times New Roman"/>
            </w:rPr>
            <w:t>38</w:t>
          </w:r>
          <w:r>
            <w:rPr>
              <w:rFonts w:ascii="Times New Roman" w:hAnsi="Times New Roman"/>
            </w:rPr>
            <w:fldChar w:fldCharType="end"/>
          </w:r>
          <w:r>
            <w:rPr>
              <w:rFonts w:ascii="Times New Roman" w:hAnsi="Times New Roman"/>
            </w:rPr>
            <w:fldChar w:fldCharType="end"/>
          </w:r>
        </w:p>
        <w:p w14:paraId="0E4D785A">
          <w:pPr>
            <w:pStyle w:val="13"/>
            <w:rPr>
              <w:rFonts w:ascii="Times New Roman" w:hAnsi="Times New Roman" w:eastAsiaTheme="minorEastAsia"/>
              <w:sz w:val="21"/>
              <w:szCs w:val="22"/>
            </w:rPr>
          </w:pPr>
          <w:r>
            <w:fldChar w:fldCharType="begin"/>
          </w:r>
          <w:r>
            <w:instrText xml:space="preserve"> HYPERLINK \l "_Toc207347485" </w:instrText>
          </w:r>
          <w:r>
            <w:fldChar w:fldCharType="separate"/>
          </w:r>
          <w:r>
            <w:rPr>
              <w:rStyle w:val="21"/>
              <w:rFonts w:ascii="Times New Roman" w:hAnsi="Times New Roman"/>
            </w:rPr>
            <w:t>3.青阳县新河镇十里岗片区（2025年调整）（编号CZQY341723-2022-2）分区规划图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_Toc207347485 \h </w:instrText>
          </w:r>
          <w:r>
            <w:rPr>
              <w:rFonts w:ascii="Times New Roman" w:hAnsi="Times New Roman"/>
            </w:rPr>
            <w:fldChar w:fldCharType="separate"/>
          </w:r>
          <w:r>
            <w:rPr>
              <w:rFonts w:ascii="Times New Roman" w:hAnsi="Times New Roman"/>
            </w:rPr>
            <w:t>39</w:t>
          </w:r>
          <w:r>
            <w:rPr>
              <w:rFonts w:ascii="Times New Roman" w:hAnsi="Times New Roman"/>
            </w:rPr>
            <w:fldChar w:fldCharType="end"/>
          </w:r>
          <w:r>
            <w:rPr>
              <w:rFonts w:ascii="Times New Roman" w:hAnsi="Times New Roman"/>
            </w:rPr>
            <w:fldChar w:fldCharType="end"/>
          </w:r>
        </w:p>
        <w:p w14:paraId="2FFFD96D">
          <w:pPr>
            <w:pStyle w:val="13"/>
            <w:rPr>
              <w:rFonts w:ascii="Times New Roman" w:hAnsi="Times New Roman" w:eastAsiaTheme="minorEastAsia"/>
              <w:sz w:val="21"/>
              <w:szCs w:val="22"/>
            </w:rPr>
          </w:pPr>
          <w:r>
            <w:fldChar w:fldCharType="begin"/>
          </w:r>
          <w:r>
            <w:instrText xml:space="preserve"> HYPERLINK \l "_Toc207347486" </w:instrText>
          </w:r>
          <w:r>
            <w:fldChar w:fldCharType="separate"/>
          </w:r>
          <w:r>
            <w:rPr>
              <w:rStyle w:val="21"/>
              <w:rFonts w:ascii="Times New Roman" w:hAnsi="Times New Roman"/>
            </w:rPr>
            <w:t>4.青阳县新河镇十里岗片区（2025年调整）（编号CZQY341723-2022-2）用地规划图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_Toc207347486 \h </w:instrText>
          </w:r>
          <w:r>
            <w:rPr>
              <w:rFonts w:ascii="Times New Roman" w:hAnsi="Times New Roman"/>
            </w:rPr>
            <w:fldChar w:fldCharType="separate"/>
          </w:r>
          <w:r>
            <w:rPr>
              <w:rFonts w:ascii="Times New Roman" w:hAnsi="Times New Roman"/>
            </w:rPr>
            <w:t>40</w:t>
          </w:r>
          <w:r>
            <w:rPr>
              <w:rFonts w:ascii="Times New Roman" w:hAnsi="Times New Roman"/>
            </w:rPr>
            <w:fldChar w:fldCharType="end"/>
          </w:r>
          <w:r>
            <w:rPr>
              <w:rFonts w:ascii="Times New Roman" w:hAnsi="Times New Roman"/>
            </w:rPr>
            <w:fldChar w:fldCharType="end"/>
          </w:r>
        </w:p>
        <w:p w14:paraId="364CA680">
          <w:pPr>
            <w:adjustRightInd w:val="0"/>
            <w:snapToGrid w:val="0"/>
            <w:ind w:firstLine="562"/>
            <w:rPr>
              <w:rFonts w:ascii="Times New Roman" w:hAnsi="Times New Roman"/>
            </w:rPr>
          </w:pPr>
          <w:r>
            <w:rPr>
              <w:rFonts w:ascii="Times New Roman" w:hAnsi="Times New Roman"/>
              <w:b/>
              <w:bCs/>
              <w:lang w:val="zh-CN"/>
            </w:rPr>
            <w:fldChar w:fldCharType="end"/>
          </w:r>
        </w:p>
      </w:sdtContent>
    </w:sdt>
    <w:p w14:paraId="32F5BC0F">
      <w:pPr>
        <w:adjustRightInd w:val="0"/>
        <w:snapToGrid w:val="0"/>
        <w:ind w:firstLine="0" w:firstLineChars="0"/>
        <w:rPr>
          <w:rFonts w:ascii="Times New Roman" w:hAnsi="Times New Roman"/>
          <w:sz w:val="32"/>
          <w:szCs w:val="32"/>
        </w:rPr>
      </w:pPr>
    </w:p>
    <w:p w14:paraId="7BEBE85F">
      <w:pPr>
        <w:ind w:firstLine="0" w:firstLineChars="0"/>
        <w:rPr>
          <w:rFonts w:ascii="Times New Roman" w:hAnsi="Times New Roman" w:eastAsia="黑体"/>
          <w:sz w:val="32"/>
          <w:szCs w:val="32"/>
        </w:rPr>
        <w:sectPr>
          <w:pgSz w:w="11906" w:h="16838"/>
          <w:pgMar w:top="1440" w:right="1800" w:bottom="1440" w:left="1800" w:header="851" w:footer="992" w:gutter="0"/>
          <w:cols w:space="720" w:num="1"/>
          <w:docGrid w:type="lines" w:linePitch="312" w:charSpace="0"/>
        </w:sectPr>
      </w:pPr>
    </w:p>
    <w:p w14:paraId="1AAD5A9D">
      <w:pPr>
        <w:ind w:firstLine="560"/>
        <w:rPr>
          <w:rFonts w:ascii="Times New Roman" w:hAnsi="Times New Roman"/>
        </w:rPr>
      </w:pPr>
      <w:r>
        <w:rPr>
          <w:rFonts w:ascii="Times New Roman" w:hAnsi="Times New Roman"/>
        </w:rPr>
        <w:t>根据《中华人民共和国土地管理法》《土地征收成片开发标准》（自然资规〔2023〕7号）《安徽省土地征收成片开发标准实施细则》（皖自然资规〔2021〕4号）的有关规定，青阳县人民政府组织编制了《青阳县新河镇十里岗片区土地征收成片开发方案》（编号：CZQY341723-2022-2），于2022年4月取得批复并备案；后于2024年对初始方案进行第一次调整，调整方案于2024年5月取得批复并备案。现因国土空间规划调整，青阳县人民政府组织编制了《青阳县新河镇十里岗片区土地征收成片开发方案（2025年调整）》（编号：CZQY341723-2022-2）。具体内容如下：</w:t>
      </w:r>
    </w:p>
    <w:p w14:paraId="75BA0CAF">
      <w:pPr>
        <w:pStyle w:val="2"/>
        <w:ind w:firstLine="602"/>
        <w:rPr>
          <w:rFonts w:ascii="Times New Roman" w:hAnsi="Times New Roman" w:cs="Times New Roman"/>
        </w:rPr>
      </w:pPr>
      <w:bookmarkStart w:id="0" w:name="_Toc143777421"/>
      <w:bookmarkStart w:id="1" w:name="_Toc207347456"/>
      <w:bookmarkStart w:id="2" w:name="_Toc134166593"/>
      <w:r>
        <w:rPr>
          <w:rFonts w:ascii="Times New Roman" w:hAnsi="Times New Roman" w:cs="Times New Roman"/>
        </w:rPr>
        <w:t>成片开发方案的调整说明</w:t>
      </w:r>
      <w:bookmarkEnd w:id="0"/>
      <w:bookmarkEnd w:id="1"/>
      <w:bookmarkEnd w:id="2"/>
    </w:p>
    <w:p w14:paraId="12B9AB93">
      <w:pPr>
        <w:pStyle w:val="3"/>
        <w:ind w:firstLine="560"/>
        <w:rPr>
          <w:rFonts w:ascii="Times New Roman" w:hAnsi="Times New Roman"/>
        </w:rPr>
      </w:pPr>
      <w:bookmarkStart w:id="3" w:name="_Toc207347457"/>
      <w:r>
        <w:rPr>
          <w:rFonts w:ascii="Times New Roman" w:hAnsi="Times New Roman"/>
        </w:rPr>
        <w:t>调整背景</w:t>
      </w:r>
      <w:bookmarkEnd w:id="3"/>
    </w:p>
    <w:p w14:paraId="3898B8B8">
      <w:pPr>
        <w:ind w:firstLine="560"/>
        <w:rPr>
          <w:rFonts w:ascii="Times New Roman" w:hAnsi="Times New Roman"/>
        </w:rPr>
      </w:pPr>
      <w:r>
        <w:rPr>
          <w:rFonts w:ascii="Times New Roman" w:hAnsi="Times New Roman"/>
        </w:rPr>
        <w:t>《青阳县新河镇十里岗片区土地征收成片开发方案（2024年调整）》（编号：CZQY341723-2022-2），于2024年5月取得批复并备案。根据《自然资源部关于印发&lt;土地征收成片开发标准&gt;的通知》（自然资规〔2023〕7号）第六条规定：“因国民经济和社会发展年度计划、国土空间规划调整或者不可抗力等因素导致无法实施的，可按规定调整土地征收成片开发方案”。2024年12月，自然资源部下发 “城镇开发边界局部优化成果（2024年第二轮，12月版）”，部分城镇开发边界位于原成片开发方案范围外；2025年8月26日，《青阳县新河镇XHCZDY-01单元详细规划》取得县政府批复，原成片开发方案范围内用地布局、结构有所调整。本次方案调整符合上述规定的“国土空间规划调整”情形。</w:t>
      </w:r>
    </w:p>
    <w:p w14:paraId="4BDD7999">
      <w:pPr>
        <w:pStyle w:val="3"/>
        <w:ind w:firstLine="560"/>
        <w:rPr>
          <w:rFonts w:ascii="Times New Roman" w:hAnsi="Times New Roman"/>
        </w:rPr>
      </w:pPr>
      <w:bookmarkStart w:id="4" w:name="_Toc207347458"/>
      <w:r>
        <w:rPr>
          <w:rFonts w:ascii="Times New Roman" w:hAnsi="Times New Roman"/>
        </w:rPr>
        <w:t>原方案批准及执行情况</w:t>
      </w:r>
      <w:bookmarkEnd w:id="4"/>
    </w:p>
    <w:p w14:paraId="2BA32678">
      <w:pPr>
        <w:ind w:firstLine="560"/>
        <w:rPr>
          <w:rFonts w:ascii="Times New Roman" w:hAnsi="Times New Roman"/>
        </w:rPr>
      </w:pPr>
      <w:r>
        <w:rPr>
          <w:rFonts w:ascii="Times New Roman" w:hAnsi="Times New Roman"/>
        </w:rPr>
        <w:t>2022年，本方案初次编制，方案总面积80.2728公顷，其中农用地41.8734公顷，建设用地38.3994公顷，未利用地0公顷，拟征收土地面积32.2080公顷。拟4年内完成土地征收和供地：2022年完成土地征收18.3881公顷，土地供应18.3881公顷；2023年完成土地征收8.8802公顷，土地供应3.1549公顷；2024年完成土地征收4.5969公顷，土地供应5.7253公顷；2025年完成土地征收0.3428公顷，土地供应4.9394公顷。</w:t>
      </w:r>
    </w:p>
    <w:p w14:paraId="4D6C0444">
      <w:pPr>
        <w:ind w:firstLine="0" w:firstLineChars="0"/>
        <w:rPr>
          <w:rFonts w:ascii="Times New Roman" w:hAnsi="Times New Roman"/>
        </w:rPr>
      </w:pPr>
      <w:r>
        <w:rPr>
          <w:rFonts w:ascii="Times New Roman" w:hAnsi="Times New Roman"/>
        </w:rPr>
        <w:drawing>
          <wp:inline distT="0" distB="0" distL="0" distR="0">
            <wp:extent cx="5184775" cy="3534410"/>
            <wp:effectExtent l="0" t="0" r="0" b="8890"/>
            <wp:docPr id="21" name="图片 21" descr="E:\2025年工作\2.成片开发\6.青阳县新河镇十里岗片区土地征收成片开发方案（2025年调整）\图件\图件\初始方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2025年工作\2.成片开发\6.青阳县新河镇十里岗片区土地征收成片开发方案（2025年调整）\图件\图件\初始方案.jpg"/>
                    <pic:cNvPicPr>
                      <a:picLocks noChangeAspect="1" noChangeArrowheads="1"/>
                    </pic:cNvPicPr>
                  </pic:nvPicPr>
                  <pic:blipFill>
                    <a:blip r:embed="rId13" cstate="print">
                      <a:extLst>
                        <a:ext uri="{28A0092B-C50C-407E-A947-70E740481C1C}">
                          <a14:useLocalDpi xmlns:a14="http://schemas.microsoft.com/office/drawing/2010/main" val="0"/>
                        </a:ext>
                      </a:extLst>
                    </a:blip>
                    <a:srcRect l="634" t="1793" r="1037" b="3470"/>
                    <a:stretch>
                      <a:fillRect/>
                    </a:stretch>
                  </pic:blipFill>
                  <pic:spPr>
                    <a:xfrm>
                      <a:off x="0" y="0"/>
                      <a:ext cx="5186141" cy="3535159"/>
                    </a:xfrm>
                    <a:prstGeom prst="rect">
                      <a:avLst/>
                    </a:prstGeom>
                    <a:noFill/>
                    <a:ln>
                      <a:noFill/>
                    </a:ln>
                  </pic:spPr>
                </pic:pic>
              </a:graphicData>
            </a:graphic>
          </wp:inline>
        </w:drawing>
      </w:r>
    </w:p>
    <w:p w14:paraId="4CF6DB89">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w:t>
      </w:r>
      <w:r>
        <w:rPr>
          <w:rFonts w:ascii="Times New Roman" w:hAnsi="Times New Roman" w:eastAsia="黑体"/>
          <w:bCs/>
          <w:sz w:val="24"/>
        </w:rPr>
        <w:fldChar w:fldCharType="end"/>
      </w:r>
      <w:r>
        <w:rPr>
          <w:rFonts w:ascii="Times New Roman" w:hAnsi="Times New Roman" w:eastAsia="黑体"/>
          <w:bCs/>
          <w:sz w:val="24"/>
        </w:rPr>
        <w:t xml:space="preserve"> 初始方案成片开发范围及拟征收范围图</w:t>
      </w:r>
    </w:p>
    <w:p w14:paraId="1A2AE5CA">
      <w:pPr>
        <w:ind w:firstLine="560"/>
        <w:rPr>
          <w:rFonts w:ascii="Times New Roman" w:hAnsi="Times New Roman"/>
        </w:rPr>
      </w:pPr>
      <w:r>
        <w:rPr>
          <w:rFonts w:ascii="Times New Roman" w:hAnsi="Times New Roman"/>
        </w:rPr>
        <w:t>2024年，对本方案进行第一次调整，调整后总面积91.1894公顷，其中农用地30.2718公顷，建设用地60.9176公顷，未利用地0公顷，拟征收土地面积22.3059公顷。拟4年内完成土地征收和供地：2024年完成土地征收5.8805公顷，土地供应15.2386公顷；2025年完成土地征收4.5969公顷，土地供应3.5851公顷；2026年完成土地征收8.8657公顷，土地供应4.5969公顷；2027年完成土地征收2.9628公顷，土地供应11.8285公顷。</w:t>
      </w:r>
    </w:p>
    <w:p w14:paraId="21EB7AE5">
      <w:pPr>
        <w:keepNext/>
        <w:adjustRightInd w:val="0"/>
        <w:snapToGrid w:val="0"/>
        <w:spacing w:line="240" w:lineRule="auto"/>
        <w:ind w:firstLine="0" w:firstLineChars="0"/>
        <w:jc w:val="center"/>
        <w:rPr>
          <w:rFonts w:ascii="Times New Roman" w:hAnsi="Times New Roman"/>
        </w:rPr>
      </w:pPr>
      <w:r>
        <w:rPr>
          <w:rFonts w:ascii="Times New Roman" w:hAnsi="Times New Roman"/>
        </w:rPr>
        <w:drawing>
          <wp:inline distT="0" distB="0" distL="0" distR="0">
            <wp:extent cx="5196205" cy="3550920"/>
            <wp:effectExtent l="0" t="0" r="4445" b="0"/>
            <wp:docPr id="31" name="图片 31" descr="E:\2025年工作\2.成片开发\6.青阳县新河镇十里岗片区土地征收成片开发方案（2025年调整）\图件\图件\第一调整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E:\2025年工作\2.成片开发\6.青阳县新河镇十里岗片区土地征收成片开发方案（2025年调整）\图件\图件\第一调整后.jpg"/>
                    <pic:cNvPicPr>
                      <a:picLocks noChangeAspect="1" noChangeArrowheads="1"/>
                    </pic:cNvPicPr>
                  </pic:nvPicPr>
                  <pic:blipFill>
                    <a:blip r:embed="rId14" cstate="print">
                      <a:extLst>
                        <a:ext uri="{28A0092B-C50C-407E-A947-70E740481C1C}">
                          <a14:useLocalDpi xmlns:a14="http://schemas.microsoft.com/office/drawing/2010/main" val="0"/>
                        </a:ext>
                      </a:extLst>
                    </a:blip>
                    <a:srcRect l="740" t="1794" r="720" b="3020"/>
                    <a:stretch>
                      <a:fillRect/>
                    </a:stretch>
                  </pic:blipFill>
                  <pic:spPr>
                    <a:xfrm>
                      <a:off x="0" y="0"/>
                      <a:ext cx="5197294" cy="3551887"/>
                    </a:xfrm>
                    <a:prstGeom prst="rect">
                      <a:avLst/>
                    </a:prstGeom>
                    <a:noFill/>
                    <a:ln>
                      <a:noFill/>
                    </a:ln>
                  </pic:spPr>
                </pic:pic>
              </a:graphicData>
            </a:graphic>
          </wp:inline>
        </w:drawing>
      </w:r>
    </w:p>
    <w:p w14:paraId="2682DC03">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2</w:t>
      </w:r>
      <w:r>
        <w:rPr>
          <w:rFonts w:ascii="Times New Roman" w:hAnsi="Times New Roman" w:eastAsia="黑体"/>
          <w:bCs/>
          <w:sz w:val="24"/>
        </w:rPr>
        <w:fldChar w:fldCharType="end"/>
      </w:r>
      <w:r>
        <w:rPr>
          <w:rFonts w:ascii="Times New Roman" w:hAnsi="Times New Roman" w:eastAsia="黑体"/>
          <w:bCs/>
          <w:sz w:val="24"/>
        </w:rPr>
        <w:t xml:space="preserve"> 第一次调整后成片开发范围拟征收范围图</w:t>
      </w:r>
    </w:p>
    <w:p w14:paraId="34D4DDF6">
      <w:pPr>
        <w:ind w:firstLine="560"/>
        <w:rPr>
          <w:rFonts w:ascii="Times New Roman" w:hAnsi="Times New Roman"/>
        </w:rPr>
      </w:pPr>
      <w:r>
        <w:rPr>
          <w:rFonts w:ascii="Times New Roman" w:hAnsi="Times New Roman"/>
        </w:rPr>
        <w:t>初始方案批准至2024年3月，片区内已完成土地征收14.9666公顷，土地供应2.0234公顷，主要用于保障片区内项目落地、建成投产；未供应土地12.9432公顷；2024年调整批准至2025年7月，片区内已完成土地征收2.8499公顷，土地供应2.5409公顷，主要用于保障片区内项目落地、建成投产；未供应土地13.2522公顷纳入调整后方案继续执行。</w:t>
      </w:r>
    </w:p>
    <w:p w14:paraId="770CDEFB">
      <w:pPr>
        <w:pStyle w:val="3"/>
        <w:ind w:firstLine="560"/>
        <w:rPr>
          <w:rFonts w:ascii="Times New Roman" w:hAnsi="Times New Roman"/>
        </w:rPr>
      </w:pPr>
      <w:bookmarkStart w:id="5" w:name="_Toc207347459"/>
      <w:r>
        <w:rPr>
          <w:rFonts w:ascii="Times New Roman" w:hAnsi="Times New Roman"/>
        </w:rPr>
        <w:t>调整必要性</w:t>
      </w:r>
      <w:bookmarkEnd w:id="5"/>
    </w:p>
    <w:p w14:paraId="4CA43C31">
      <w:pPr>
        <w:ind w:firstLine="560"/>
        <w:rPr>
          <w:rFonts w:ascii="Times New Roman" w:hAnsi="Times New Roman"/>
        </w:rPr>
      </w:pPr>
      <w:r>
        <w:rPr>
          <w:rFonts w:ascii="Times New Roman" w:hAnsi="Times New Roman"/>
        </w:rPr>
        <w:t>一是片区国土空间规划调整的需要。原方案批准于2024年5月，依据报部更新后的城镇开发边界确定的成片开发范围；2024年12月，自然资源部下发 “城镇开发边界局部优化成果（2024年第二轮，12月版）”，城镇开发边界有所调整。原方案规划布局依据《青阳县新河镇中心镇区控制性详细规划》，需按照最新依法批准的《青阳县新河镇XHCZDY-01单元详细规划》确定的用地布局进行调整。</w:t>
      </w:r>
    </w:p>
    <w:p w14:paraId="5EAFE983">
      <w:pPr>
        <w:ind w:firstLine="560"/>
        <w:rPr>
          <w:rFonts w:ascii="Times New Roman" w:hAnsi="Times New Roman"/>
        </w:rPr>
      </w:pPr>
      <w:r>
        <w:rPr>
          <w:rFonts w:ascii="Times New Roman" w:hAnsi="Times New Roman"/>
        </w:rPr>
        <w:t>二是片区经济社会高质量发展的需求。依据城镇开发边界局部优化成果（2024年第二轮，12月版），原土地征收成片开发方案范围外北侧存在一部分未征收土地，为2024年12月份</w:t>
      </w:r>
      <w:r>
        <w:rPr>
          <w:rFonts w:hint="eastAsia" w:ascii="Times New Roman" w:hAnsi="Times New Roman"/>
          <w:lang w:eastAsia="zh-CN"/>
        </w:rPr>
        <w:t>优化调入</w:t>
      </w:r>
      <w:r>
        <w:rPr>
          <w:rFonts w:ascii="Times New Roman" w:hAnsi="Times New Roman"/>
        </w:rPr>
        <w:t>城镇开发边界范围。如单独编制土地征收成片开发方案，难以体现法定的成片开发要求，且难以满足公益性用地比例不小于40%的要求；为进一步落实青阳县国土空间总体规划，推进片区经济社会高质量发展，有利于节约集约利用土地，依法保障未征收集体土地经济组织成员合法权益，将原成片开发方案范围外的城镇开发边界集中建设区纳入土地征收成片开发调整方案。</w:t>
      </w:r>
    </w:p>
    <w:p w14:paraId="12AED51F">
      <w:pPr>
        <w:ind w:firstLine="560"/>
        <w:rPr>
          <w:rFonts w:ascii="Times New Roman" w:hAnsi="Times New Roman"/>
        </w:rPr>
      </w:pPr>
      <w:r>
        <w:rPr>
          <w:rFonts w:ascii="Times New Roman" w:hAnsi="Times New Roman"/>
        </w:rPr>
        <w:t>因此，需调整原土地征收成片开发方案，保障国民经济和社会发展计划、国土空间总体规划的有效执行。</w:t>
      </w:r>
    </w:p>
    <w:p w14:paraId="0413A8D5">
      <w:pPr>
        <w:keepNext/>
        <w:ind w:firstLine="0" w:firstLineChars="0"/>
        <w:jc w:val="center"/>
        <w:rPr>
          <w:rFonts w:ascii="Times New Roman" w:hAnsi="Times New Roman"/>
        </w:rPr>
      </w:pPr>
      <w:r>
        <w:rPr>
          <w:rFonts w:ascii="Times New Roman" w:hAnsi="Times New Roman"/>
        </w:rPr>
        <w:drawing>
          <wp:inline distT="0" distB="0" distL="0" distR="0">
            <wp:extent cx="5274310" cy="3731895"/>
            <wp:effectExtent l="0" t="0" r="2540" b="1905"/>
            <wp:docPr id="34" name="图片 34" descr="E:\2025年工作\2.成片开发\6.青阳县新河镇十里岗片区土地征收成片开发方案（2025年调整）\图件\图件\报部更新后城镇开发边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E:\2025年工作\2.成片开发\6.青阳县新河镇十里岗片区土地征收成片开发方案（2025年调整）\图件\图件\报部更新后城镇开发边界.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274310" cy="3732231"/>
                    </a:xfrm>
                    <a:prstGeom prst="rect">
                      <a:avLst/>
                    </a:prstGeom>
                    <a:noFill/>
                    <a:ln>
                      <a:noFill/>
                    </a:ln>
                  </pic:spPr>
                </pic:pic>
              </a:graphicData>
            </a:graphic>
          </wp:inline>
        </w:drawing>
      </w:r>
    </w:p>
    <w:p w14:paraId="2CD1A2D5">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3</w:t>
      </w:r>
      <w:r>
        <w:rPr>
          <w:rFonts w:ascii="Times New Roman" w:hAnsi="Times New Roman" w:eastAsia="黑体"/>
          <w:bCs/>
          <w:sz w:val="24"/>
        </w:rPr>
        <w:fldChar w:fldCharType="end"/>
      </w:r>
      <w:r>
        <w:rPr>
          <w:rFonts w:ascii="Times New Roman" w:hAnsi="Times New Roman" w:eastAsia="黑体"/>
          <w:bCs/>
          <w:sz w:val="24"/>
        </w:rPr>
        <w:t>成片开发方案范围与报部更新后的城镇开发边界位置图</w:t>
      </w:r>
    </w:p>
    <w:p w14:paraId="36268D99">
      <w:pPr>
        <w:keepNext/>
        <w:ind w:firstLine="0" w:firstLineChars="0"/>
        <w:jc w:val="center"/>
        <w:rPr>
          <w:rFonts w:ascii="Times New Roman" w:hAnsi="Times New Roman"/>
        </w:rPr>
      </w:pPr>
      <w:r>
        <w:rPr>
          <w:rFonts w:ascii="Times New Roman" w:hAnsi="Times New Roman"/>
        </w:rPr>
        <w:drawing>
          <wp:inline distT="0" distB="0" distL="0" distR="0">
            <wp:extent cx="5215255" cy="3539490"/>
            <wp:effectExtent l="0" t="0" r="4445" b="3810"/>
            <wp:docPr id="35" name="图片 35" descr="E:\2025年工作\2.成片开发\6.青阳县新河镇十里岗片区土地征收成片开发方案（2025年调整）\图件\图件\优化调整后城镇开发边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E:\2025年工作\2.成片开发\6.青阳县新河镇十里岗片区土地征收成片开发方案（2025年调整）\图件\图件\优化调整后城镇开发边界.jpg"/>
                    <pic:cNvPicPr>
                      <a:picLocks noChangeAspect="1" noChangeArrowheads="1"/>
                    </pic:cNvPicPr>
                  </pic:nvPicPr>
                  <pic:blipFill>
                    <a:blip r:embed="rId16" cstate="print">
                      <a:extLst>
                        <a:ext uri="{28A0092B-C50C-407E-A947-70E740481C1C}">
                          <a14:useLocalDpi xmlns:a14="http://schemas.microsoft.com/office/drawing/2010/main" val="0"/>
                        </a:ext>
                      </a:extLst>
                    </a:blip>
                    <a:srcRect l="554" t="1960" r="529" b="3167"/>
                    <a:stretch>
                      <a:fillRect/>
                    </a:stretch>
                  </pic:blipFill>
                  <pic:spPr>
                    <a:xfrm>
                      <a:off x="0" y="0"/>
                      <a:ext cx="5217181" cy="3540978"/>
                    </a:xfrm>
                    <a:prstGeom prst="rect">
                      <a:avLst/>
                    </a:prstGeom>
                    <a:noFill/>
                    <a:ln>
                      <a:noFill/>
                    </a:ln>
                  </pic:spPr>
                </pic:pic>
              </a:graphicData>
            </a:graphic>
          </wp:inline>
        </w:drawing>
      </w:r>
    </w:p>
    <w:p w14:paraId="5FBA4A90">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4</w:t>
      </w:r>
      <w:r>
        <w:rPr>
          <w:rFonts w:ascii="Times New Roman" w:hAnsi="Times New Roman" w:eastAsia="黑体"/>
          <w:bCs/>
          <w:sz w:val="24"/>
        </w:rPr>
        <w:fldChar w:fldCharType="end"/>
      </w:r>
      <w:r>
        <w:rPr>
          <w:rFonts w:ascii="Times New Roman" w:hAnsi="Times New Roman" w:eastAsia="黑体"/>
          <w:bCs/>
          <w:sz w:val="24"/>
        </w:rPr>
        <w:t>成片开发方案范围与城镇开发边界局部优化成果（2024年第二轮，12月版）位置图</w:t>
      </w:r>
    </w:p>
    <w:p w14:paraId="4EE63943">
      <w:pPr>
        <w:pStyle w:val="3"/>
        <w:ind w:firstLine="560"/>
        <w:rPr>
          <w:rFonts w:ascii="Times New Roman" w:hAnsi="Times New Roman"/>
        </w:rPr>
      </w:pPr>
      <w:bookmarkStart w:id="6" w:name="_Toc207347460"/>
      <w:r>
        <w:rPr>
          <w:rFonts w:ascii="Times New Roman" w:hAnsi="Times New Roman"/>
        </w:rPr>
        <w:t>调整内容</w:t>
      </w:r>
      <w:bookmarkEnd w:id="6"/>
    </w:p>
    <w:p w14:paraId="6EC61AF2">
      <w:pPr>
        <w:ind w:firstLine="560"/>
        <w:rPr>
          <w:rFonts w:ascii="Times New Roman" w:hAnsi="Times New Roman"/>
        </w:rPr>
      </w:pPr>
      <w:r>
        <w:rPr>
          <w:rFonts w:ascii="Times New Roman" w:hAnsi="Times New Roman"/>
        </w:rPr>
        <w:t>本次调整后成片开发方案范围确定依据《青阳县国土空间总体规划（2021-2035年）》城镇开发边界划定成果，在坚持集中连片、完整性原则上，确定了本片区调整后范围。本次调整新增区域0.3868公顷，为北侧于2024年12月份</w:t>
      </w:r>
      <w:r>
        <w:rPr>
          <w:rFonts w:hint="eastAsia" w:ascii="Times New Roman" w:hAnsi="Times New Roman"/>
          <w:lang w:eastAsia="zh-CN"/>
        </w:rPr>
        <w:t>优化调入</w:t>
      </w:r>
      <w:r>
        <w:rPr>
          <w:rFonts w:ascii="Times New Roman" w:hAnsi="Times New Roman"/>
        </w:rPr>
        <w:t>城镇开发边界区域。</w:t>
      </w:r>
    </w:p>
    <w:p w14:paraId="25A2002E">
      <w:pPr>
        <w:keepNext/>
        <w:ind w:firstLine="0" w:firstLineChars="0"/>
        <w:jc w:val="center"/>
        <w:rPr>
          <w:rFonts w:ascii="Times New Roman" w:hAnsi="Times New Roman"/>
        </w:rPr>
      </w:pPr>
      <w:r>
        <w:rPr>
          <w:rFonts w:ascii="Times New Roman" w:hAnsi="Times New Roman"/>
        </w:rPr>
        <w:drawing>
          <wp:inline distT="0" distB="0" distL="0" distR="0">
            <wp:extent cx="5213350" cy="3540760"/>
            <wp:effectExtent l="0" t="0" r="6350" b="2540"/>
            <wp:docPr id="36" name="图片 36" descr="E:\2025年工作\2.成片开发\6.青阳县新河镇十里岗片区土地征收成片开发方案（2025年调整）\图件\图件\新增区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E:\2025年工作\2.成片开发\6.青阳县新河镇十里岗片区土地征收成片开发方案（2025年调整）\图件\图件\新增区域.jpg"/>
                    <pic:cNvPicPr>
                      <a:picLocks noChangeAspect="1" noChangeArrowheads="1"/>
                    </pic:cNvPicPr>
                  </pic:nvPicPr>
                  <pic:blipFill>
                    <a:blip r:embed="rId17" cstate="print">
                      <a:extLst>
                        <a:ext uri="{28A0092B-C50C-407E-A947-70E740481C1C}">
                          <a14:useLocalDpi xmlns:a14="http://schemas.microsoft.com/office/drawing/2010/main" val="0"/>
                        </a:ext>
                      </a:extLst>
                    </a:blip>
                    <a:srcRect l="647" t="1829" r="477" b="3238"/>
                    <a:stretch>
                      <a:fillRect/>
                    </a:stretch>
                  </pic:blipFill>
                  <pic:spPr>
                    <a:xfrm>
                      <a:off x="0" y="0"/>
                      <a:ext cx="5214981" cy="3542145"/>
                    </a:xfrm>
                    <a:prstGeom prst="rect">
                      <a:avLst/>
                    </a:prstGeom>
                    <a:noFill/>
                    <a:ln>
                      <a:noFill/>
                    </a:ln>
                  </pic:spPr>
                </pic:pic>
              </a:graphicData>
            </a:graphic>
          </wp:inline>
        </w:drawing>
      </w:r>
    </w:p>
    <w:p w14:paraId="2BC599BE">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5</w:t>
      </w:r>
      <w:r>
        <w:rPr>
          <w:rFonts w:ascii="Times New Roman" w:hAnsi="Times New Roman" w:eastAsia="黑体"/>
          <w:bCs/>
          <w:sz w:val="24"/>
        </w:rPr>
        <w:fldChar w:fldCharType="end"/>
      </w:r>
      <w:r>
        <w:rPr>
          <w:rFonts w:ascii="Times New Roman" w:hAnsi="Times New Roman" w:eastAsia="黑体"/>
          <w:bCs/>
          <w:sz w:val="24"/>
        </w:rPr>
        <w:t>原方案调整区域分布图</w:t>
      </w:r>
    </w:p>
    <w:p w14:paraId="03C6B4D7">
      <w:pPr>
        <w:ind w:firstLine="560"/>
        <w:rPr>
          <w:rFonts w:ascii="Times New Roman" w:hAnsi="Times New Roman"/>
        </w:rPr>
      </w:pPr>
      <w:r>
        <w:rPr>
          <w:rFonts w:ascii="Times New Roman" w:hAnsi="Times New Roman"/>
        </w:rPr>
        <w:t>调整前成片开发方案范围东至木镇镇界，南至G318，西至锦鹏钢构，北至驾校、新木路，总面积91.1894公顷；调整后成片开发方案范围东至木镇镇界，南至G318，西至锦鹏钢构，北至驾校、新木路，总面积91.5762公顷，调整后总面积增加0.3868公顷。调整前拟征收土地面积22.3059公顷，调整后拟征收土地面积19.8425公顷。年度实施计划由原2024-2027年调整为2025-2028年。依据方案批准的土地征收成片开发方案征收的17.8165公顷土地全部位于调整后的土地征收成片开发方案范围内。</w:t>
      </w:r>
    </w:p>
    <w:p w14:paraId="22D93038">
      <w:pPr>
        <w:keepNext/>
        <w:ind w:firstLine="0" w:firstLineChars="0"/>
        <w:jc w:val="center"/>
        <w:rPr>
          <w:rFonts w:ascii="Times New Roman" w:hAnsi="Times New Roman"/>
        </w:rPr>
      </w:pPr>
      <w:r>
        <w:rPr>
          <w:rFonts w:ascii="Times New Roman" w:hAnsi="Times New Roman"/>
        </w:rPr>
        <w:drawing>
          <wp:inline distT="0" distB="0" distL="0" distR="0">
            <wp:extent cx="5274310" cy="3731895"/>
            <wp:effectExtent l="0" t="0" r="2540" b="1905"/>
            <wp:docPr id="40" name="图片 40" descr="E:\2025年工作\2.成片开发\6.青阳县新河镇十里岗片区土地征收成片开发方案（2025年调整）\图件\图件\方案至今已报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E:\2025年工作\2.成片开发\6.青阳县新河镇十里岗片区土地征收成片开发方案（2025年调整）\图件\图件\方案至今已报批.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274310" cy="3732295"/>
                    </a:xfrm>
                    <a:prstGeom prst="rect">
                      <a:avLst/>
                    </a:prstGeom>
                    <a:noFill/>
                    <a:ln>
                      <a:noFill/>
                    </a:ln>
                  </pic:spPr>
                </pic:pic>
              </a:graphicData>
            </a:graphic>
          </wp:inline>
        </w:drawing>
      </w:r>
    </w:p>
    <w:p w14:paraId="73071F86">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6</w:t>
      </w:r>
      <w:r>
        <w:rPr>
          <w:rFonts w:ascii="Times New Roman" w:hAnsi="Times New Roman" w:eastAsia="黑体"/>
          <w:bCs/>
          <w:sz w:val="24"/>
        </w:rPr>
        <w:fldChar w:fldCharType="end"/>
      </w:r>
      <w:r>
        <w:rPr>
          <w:rFonts w:ascii="Times New Roman" w:hAnsi="Times New Roman" w:eastAsia="黑体"/>
          <w:bCs/>
          <w:sz w:val="24"/>
        </w:rPr>
        <w:t xml:space="preserve"> 成片开发方案范围调整前后对比及已征收土地</w:t>
      </w:r>
    </w:p>
    <w:p w14:paraId="3095462D">
      <w:pPr>
        <w:pStyle w:val="2"/>
        <w:ind w:firstLine="602"/>
        <w:rPr>
          <w:rFonts w:ascii="Times New Roman" w:hAnsi="Times New Roman" w:eastAsia="仿宋" w:cs="Times New Roman"/>
        </w:rPr>
      </w:pPr>
      <w:bookmarkStart w:id="7" w:name="_Toc207347461"/>
      <w:r>
        <w:rPr>
          <w:rFonts w:ascii="Times New Roman" w:hAnsi="Times New Roman" w:cs="Times New Roman"/>
        </w:rPr>
        <w:t>成片开发的位置、面积、范围和基础设施条件</w:t>
      </w:r>
      <w:bookmarkEnd w:id="7"/>
    </w:p>
    <w:p w14:paraId="67DB75F2">
      <w:pPr>
        <w:pStyle w:val="3"/>
        <w:ind w:firstLine="560"/>
        <w:rPr>
          <w:rFonts w:ascii="Times New Roman" w:hAnsi="Times New Roman"/>
        </w:rPr>
      </w:pPr>
      <w:bookmarkStart w:id="8" w:name="_Toc207347462"/>
      <w:r>
        <w:rPr>
          <w:rFonts w:ascii="Times New Roman" w:hAnsi="Times New Roman"/>
        </w:rPr>
        <w:t>片区位置、面积、范围</w:t>
      </w:r>
      <w:bookmarkEnd w:id="8"/>
    </w:p>
    <w:p w14:paraId="7C989C8E">
      <w:pPr>
        <w:ind w:firstLine="560"/>
        <w:rPr>
          <w:rFonts w:ascii="Times New Roman" w:hAnsi="Times New Roman"/>
        </w:rPr>
      </w:pPr>
      <w:r>
        <w:rPr>
          <w:rFonts w:ascii="Times New Roman" w:hAnsi="Times New Roman"/>
        </w:rPr>
        <w:t>新河镇十里岗片区位于青阳县新河镇东部，东至木镇镇界，南至G318，西至锦鹏钢构，北至驾校、新木路。本片区全部位于新河镇十里岗村，总面积91.5762公顷，拟征收土地面积19.8425公顷。其中9.7557公顷位于安徽青阳经济开发区内。根据青阳县2023年度国土变更调查数据，成片开发范围内农用地19.6861公顷，建设用地71.8901公顷，未利用地0公顷。</w:t>
      </w:r>
    </w:p>
    <w:tbl>
      <w:tblPr>
        <w:tblStyle w:val="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259A7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tcPr>
          <w:p w14:paraId="573A780E">
            <w:pPr>
              <w:spacing w:line="240" w:lineRule="auto"/>
              <w:ind w:firstLine="0" w:firstLineChars="0"/>
              <w:jc w:val="center"/>
              <w:rPr>
                <w:rFonts w:ascii="Times New Roman" w:hAnsi="Times New Roman"/>
              </w:rPr>
            </w:pPr>
            <w:r>
              <w:rPr>
                <w:rFonts w:ascii="Times New Roman" w:hAnsi="Times New Roman"/>
              </w:rPr>
              <w:drawing>
                <wp:inline distT="0" distB="0" distL="0" distR="0">
                  <wp:extent cx="5252720" cy="3599815"/>
                  <wp:effectExtent l="0" t="0" r="5080" b="635"/>
                  <wp:docPr id="9" name="图片 9" descr="E:\2025年工作\2.成片开发\6.青阳县新河镇十里岗片区土地征收成片开发方案（2025年调整）\图件\图件\宏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2025年工作\2.成片开发\6.青阳县新河镇十里岗片区土地征收成片开发方案（2025年调整）\图件\图件\宏观.jpg"/>
                          <pic:cNvPicPr>
                            <a:picLocks noChangeAspect="1" noChangeArrowheads="1"/>
                          </pic:cNvPicPr>
                        </pic:nvPicPr>
                        <pic:blipFill>
                          <a:blip r:embed="rId19" cstate="print">
                            <a:extLst>
                              <a:ext uri="{28A0092B-C50C-407E-A947-70E740481C1C}">
                                <a14:useLocalDpi xmlns:a14="http://schemas.microsoft.com/office/drawing/2010/main" val="0"/>
                              </a:ext>
                            </a:extLst>
                          </a:blip>
                          <a:srcRect l="2352" t="3560" r="1537" b="3372"/>
                          <a:stretch>
                            <a:fillRect/>
                          </a:stretch>
                        </pic:blipFill>
                        <pic:spPr>
                          <a:xfrm>
                            <a:off x="0" y="0"/>
                            <a:ext cx="5253060" cy="3600000"/>
                          </a:xfrm>
                          <a:prstGeom prst="rect">
                            <a:avLst/>
                          </a:prstGeom>
                          <a:noFill/>
                          <a:ln>
                            <a:noFill/>
                          </a:ln>
                        </pic:spPr>
                      </pic:pic>
                    </a:graphicData>
                  </a:graphic>
                </wp:inline>
              </w:drawing>
            </w:r>
          </w:p>
          <w:p w14:paraId="6E4D9B78">
            <w:pPr>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7</w:t>
            </w:r>
            <w:r>
              <w:rPr>
                <w:rFonts w:ascii="Times New Roman" w:hAnsi="Times New Roman" w:eastAsia="黑体"/>
                <w:bCs/>
                <w:sz w:val="24"/>
              </w:rPr>
              <w:fldChar w:fldCharType="end"/>
            </w:r>
            <w:r>
              <w:rPr>
                <w:rFonts w:ascii="Times New Roman" w:hAnsi="Times New Roman" w:eastAsia="黑体"/>
                <w:bCs/>
                <w:sz w:val="24"/>
              </w:rPr>
              <w:t>成片开发方案范围位置图——宏观</w:t>
            </w:r>
          </w:p>
        </w:tc>
      </w:tr>
      <w:tr w14:paraId="4D3B2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6" w:hRule="atLeast"/>
        </w:trPr>
        <w:tc>
          <w:tcPr>
            <w:tcW w:w="5000" w:type="pct"/>
          </w:tcPr>
          <w:p w14:paraId="5CD1DE29">
            <w:pPr>
              <w:spacing w:line="240" w:lineRule="auto"/>
              <w:ind w:firstLine="0" w:firstLineChars="0"/>
              <w:jc w:val="center"/>
              <w:rPr>
                <w:rFonts w:ascii="Times New Roman" w:hAnsi="Times New Roman"/>
              </w:rPr>
            </w:pPr>
            <w:r>
              <w:rPr>
                <w:rFonts w:ascii="Times New Roman" w:hAnsi="Times New Roman"/>
              </w:rPr>
              <w:drawing>
                <wp:inline distT="0" distB="0" distL="0" distR="0">
                  <wp:extent cx="5168900" cy="3599815"/>
                  <wp:effectExtent l="0" t="0" r="0" b="635"/>
                  <wp:docPr id="13" name="图片 13" descr="E:\2025年工作\2.成片开发\6.青阳县新河镇十里岗片区土地征收成片开发方案（2025年调整）\图件\图件\微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E:\2025年工作\2.成片开发\6.青阳县新河镇十里岗片区土地征收成片开发方案（2025年调整）\图件\图件\微观.jpg"/>
                          <pic:cNvPicPr>
                            <a:picLocks noChangeAspect="1" noChangeArrowheads="1"/>
                          </pic:cNvPicPr>
                        </pic:nvPicPr>
                        <pic:blipFill>
                          <a:blip r:embed="rId20" cstate="print">
                            <a:extLst>
                              <a:ext uri="{28A0092B-C50C-407E-A947-70E740481C1C}">
                                <a14:useLocalDpi xmlns:a14="http://schemas.microsoft.com/office/drawing/2010/main" val="0"/>
                              </a:ext>
                            </a:extLst>
                          </a:blip>
                          <a:srcRect l="2184" t="3087" r="2035" b="2667"/>
                          <a:stretch>
                            <a:fillRect/>
                          </a:stretch>
                        </pic:blipFill>
                        <pic:spPr>
                          <a:xfrm>
                            <a:off x="0" y="0"/>
                            <a:ext cx="5169498" cy="3600000"/>
                          </a:xfrm>
                          <a:prstGeom prst="rect">
                            <a:avLst/>
                          </a:prstGeom>
                          <a:noFill/>
                          <a:ln>
                            <a:noFill/>
                          </a:ln>
                        </pic:spPr>
                      </pic:pic>
                    </a:graphicData>
                  </a:graphic>
                </wp:inline>
              </w:drawing>
            </w:r>
          </w:p>
          <w:p w14:paraId="31881366">
            <w:pPr>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8</w:t>
            </w:r>
            <w:r>
              <w:rPr>
                <w:rFonts w:ascii="Times New Roman" w:hAnsi="Times New Roman" w:eastAsia="黑体"/>
                <w:bCs/>
                <w:sz w:val="24"/>
              </w:rPr>
              <w:fldChar w:fldCharType="end"/>
            </w:r>
            <w:r>
              <w:rPr>
                <w:rFonts w:ascii="Times New Roman" w:hAnsi="Times New Roman" w:eastAsia="黑体"/>
                <w:bCs/>
                <w:sz w:val="24"/>
              </w:rPr>
              <w:t>成片开发方案范围位置图——微观</w:t>
            </w:r>
          </w:p>
        </w:tc>
      </w:tr>
      <w:tr w14:paraId="7C6AD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8" w:hRule="atLeast"/>
        </w:trPr>
        <w:tc>
          <w:tcPr>
            <w:tcW w:w="5000" w:type="pct"/>
          </w:tcPr>
          <w:p w14:paraId="23001001">
            <w:pPr>
              <w:spacing w:line="240" w:lineRule="auto"/>
              <w:ind w:firstLine="0" w:firstLineChars="0"/>
              <w:jc w:val="center"/>
              <w:rPr>
                <w:rFonts w:ascii="Times New Roman" w:hAnsi="Times New Roman"/>
              </w:rPr>
            </w:pPr>
            <w:r>
              <w:rPr>
                <w:rFonts w:ascii="Times New Roman" w:hAnsi="Times New Roman"/>
              </w:rPr>
              <w:drawing>
                <wp:inline distT="0" distB="0" distL="0" distR="0">
                  <wp:extent cx="5278120" cy="3599815"/>
                  <wp:effectExtent l="0" t="0" r="0" b="635"/>
                  <wp:docPr id="14" name="图片 14" descr="E:\2025年工作\2.成片开发\6.青阳县新河镇十里岗片区土地征收成片开发方案（2025年调整）\图件\图件\地类现状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E:\2025年工作\2.成片开发\6.青阳县新河镇十里岗片区土地征收成片开发方案（2025年调整）\图件\图件\地类现状图.jpg"/>
                          <pic:cNvPicPr>
                            <a:picLocks noChangeAspect="1" noChangeArrowheads="1"/>
                          </pic:cNvPicPr>
                        </pic:nvPicPr>
                        <pic:blipFill>
                          <a:blip r:embed="rId21" cstate="print">
                            <a:extLst>
                              <a:ext uri="{28A0092B-C50C-407E-A947-70E740481C1C}">
                                <a14:useLocalDpi xmlns:a14="http://schemas.microsoft.com/office/drawing/2010/main" val="0"/>
                              </a:ext>
                            </a:extLst>
                          </a:blip>
                          <a:srcRect l="840" t="1899" r="862" b="3371"/>
                          <a:stretch>
                            <a:fillRect/>
                          </a:stretch>
                        </pic:blipFill>
                        <pic:spPr>
                          <a:xfrm>
                            <a:off x="0" y="0"/>
                            <a:ext cx="5278196" cy="3600000"/>
                          </a:xfrm>
                          <a:prstGeom prst="rect">
                            <a:avLst/>
                          </a:prstGeom>
                          <a:noFill/>
                          <a:ln>
                            <a:noFill/>
                          </a:ln>
                        </pic:spPr>
                      </pic:pic>
                    </a:graphicData>
                  </a:graphic>
                </wp:inline>
              </w:drawing>
            </w:r>
          </w:p>
          <w:p w14:paraId="2D6D060B">
            <w:pPr>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9</w:t>
            </w:r>
            <w:r>
              <w:rPr>
                <w:rFonts w:ascii="Times New Roman" w:hAnsi="Times New Roman" w:eastAsia="黑体"/>
                <w:bCs/>
                <w:sz w:val="24"/>
              </w:rPr>
              <w:fldChar w:fldCharType="end"/>
            </w:r>
            <w:r>
              <w:rPr>
                <w:rFonts w:ascii="Times New Roman" w:hAnsi="Times New Roman" w:eastAsia="黑体"/>
                <w:bCs/>
                <w:sz w:val="24"/>
              </w:rPr>
              <w:t>成片开发方案土地利用现状图</w:t>
            </w:r>
          </w:p>
        </w:tc>
      </w:tr>
    </w:tbl>
    <w:tbl>
      <w:tblPr>
        <w:tblStyle w:val="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B4E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19" w:hRule="atLeast"/>
        </w:trPr>
        <w:tc>
          <w:tcPr>
            <w:tcW w:w="5000" w:type="pct"/>
          </w:tcPr>
          <w:p w14:paraId="3B662FC4">
            <w:pPr>
              <w:ind w:firstLine="0" w:firstLineChars="0"/>
              <w:jc w:val="center"/>
              <w:rPr>
                <w:rFonts w:ascii="Times New Roman" w:hAnsi="Times New Roman"/>
              </w:rPr>
            </w:pPr>
            <w:r>
              <w:rPr>
                <w:rFonts w:ascii="Times New Roman" w:hAnsi="Times New Roman"/>
              </w:rPr>
              <w:drawing>
                <wp:inline distT="0" distB="0" distL="0" distR="0">
                  <wp:extent cx="5086985" cy="3599815"/>
                  <wp:effectExtent l="0" t="0" r="0" b="635"/>
                  <wp:docPr id="38" name="图片 38" descr="E:\2025年工作\2.成片开发\6.青阳县新河镇十里岗片区土地征收成片开发方案（2025年调整）\图件\图件\省级开发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E:\2025年工作\2.成片开发\6.青阳县新河镇十里岗片区土地征收成片开发方案（2025年调整）\图件\图件\省级开发区.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087356" cy="3600000"/>
                          </a:xfrm>
                          <a:prstGeom prst="rect">
                            <a:avLst/>
                          </a:prstGeom>
                          <a:noFill/>
                          <a:ln>
                            <a:noFill/>
                          </a:ln>
                        </pic:spPr>
                      </pic:pic>
                    </a:graphicData>
                  </a:graphic>
                </wp:inline>
              </w:drawing>
            </w:r>
          </w:p>
          <w:p w14:paraId="55C8568B">
            <w:pPr>
              <w:ind w:left="125" w:firstLine="0" w:firstLineChars="0"/>
              <w:jc w:val="center"/>
              <w:rPr>
                <w:rFonts w:ascii="Times New Roman" w:hAnsi="Times New Roman"/>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10</w:t>
            </w:r>
            <w:r>
              <w:rPr>
                <w:rFonts w:ascii="Times New Roman" w:hAnsi="Times New Roman" w:eastAsia="黑体"/>
                <w:bCs/>
                <w:sz w:val="24"/>
              </w:rPr>
              <w:fldChar w:fldCharType="end"/>
            </w:r>
            <w:r>
              <w:rPr>
                <w:rFonts w:ascii="Times New Roman" w:hAnsi="Times New Roman" w:eastAsia="黑体"/>
                <w:bCs/>
                <w:sz w:val="24"/>
              </w:rPr>
              <w:t>成片开发方案与省级开发区位置关系图</w:t>
            </w:r>
          </w:p>
        </w:tc>
      </w:tr>
      <w:tr w14:paraId="7FB0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9" w:hRule="atLeast"/>
        </w:trPr>
        <w:tc>
          <w:tcPr>
            <w:tcW w:w="5000" w:type="pct"/>
          </w:tcPr>
          <w:p w14:paraId="2B6A4311">
            <w:pPr>
              <w:ind w:firstLine="0" w:firstLineChars="0"/>
              <w:jc w:val="center"/>
              <w:rPr>
                <w:rFonts w:ascii="Times New Roman" w:hAnsi="Times New Roman"/>
              </w:rPr>
            </w:pPr>
            <w:r>
              <w:rPr>
                <w:rFonts w:ascii="Times New Roman" w:hAnsi="Times New Roman"/>
              </w:rPr>
              <w:drawing>
                <wp:inline distT="0" distB="0" distL="0" distR="0">
                  <wp:extent cx="5036185" cy="3424555"/>
                  <wp:effectExtent l="0" t="0" r="0" b="4445"/>
                  <wp:docPr id="39" name="图片 39" descr="E:\2025年工作\2.成片开发\6.青阳县新河镇十里岗片区土地征收成片开发方案（2025年调整）\图件\图件\土地征收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E:\2025年工作\2.成片开发\6.青阳县新河镇十里岗片区土地征收成片开发方案（2025年调整）\图件\图件\土地征收2.jpg"/>
                          <pic:cNvPicPr>
                            <a:picLocks noChangeAspect="1" noChangeArrowheads="1"/>
                          </pic:cNvPicPr>
                        </pic:nvPicPr>
                        <pic:blipFill>
                          <a:blip r:embed="rId23" cstate="print">
                            <a:extLst>
                              <a:ext uri="{28A0092B-C50C-407E-A947-70E740481C1C}">
                                <a14:useLocalDpi xmlns:a14="http://schemas.microsoft.com/office/drawing/2010/main" val="0"/>
                              </a:ext>
                            </a:extLst>
                          </a:blip>
                          <a:srcRect l="428" t="1815" r="556" b="3029"/>
                          <a:stretch>
                            <a:fillRect/>
                          </a:stretch>
                        </pic:blipFill>
                        <pic:spPr>
                          <a:xfrm>
                            <a:off x="0" y="0"/>
                            <a:ext cx="5037274" cy="3425616"/>
                          </a:xfrm>
                          <a:prstGeom prst="rect">
                            <a:avLst/>
                          </a:prstGeom>
                          <a:noFill/>
                          <a:ln>
                            <a:noFill/>
                          </a:ln>
                        </pic:spPr>
                      </pic:pic>
                    </a:graphicData>
                  </a:graphic>
                </wp:inline>
              </w:drawing>
            </w:r>
          </w:p>
          <w:p w14:paraId="7D19D2B4">
            <w:pPr>
              <w:ind w:firstLine="0" w:firstLineChars="0"/>
              <w:jc w:val="center"/>
              <w:rPr>
                <w:rFonts w:ascii="Times New Roman" w:hAnsi="Times New Roman"/>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11</w:t>
            </w:r>
            <w:r>
              <w:rPr>
                <w:rFonts w:ascii="Times New Roman" w:hAnsi="Times New Roman" w:eastAsia="黑体"/>
                <w:bCs/>
                <w:sz w:val="24"/>
              </w:rPr>
              <w:fldChar w:fldCharType="end"/>
            </w:r>
            <w:r>
              <w:rPr>
                <w:rFonts w:ascii="Times New Roman" w:hAnsi="Times New Roman" w:eastAsia="黑体"/>
                <w:bCs/>
                <w:sz w:val="24"/>
              </w:rPr>
              <w:t>拟征收土地范围图</w:t>
            </w:r>
          </w:p>
        </w:tc>
      </w:tr>
    </w:tbl>
    <w:p w14:paraId="089D6288">
      <w:pPr>
        <w:pStyle w:val="3"/>
        <w:ind w:firstLine="560"/>
        <w:rPr>
          <w:rFonts w:ascii="Times New Roman" w:hAnsi="Times New Roman"/>
        </w:rPr>
      </w:pPr>
      <w:bookmarkStart w:id="9" w:name="_Toc207347463"/>
      <w:r>
        <w:rPr>
          <w:rFonts w:ascii="Times New Roman" w:hAnsi="Times New Roman"/>
        </w:rPr>
        <w:t>基础设施条件</w:t>
      </w:r>
      <w:bookmarkEnd w:id="9"/>
    </w:p>
    <w:p w14:paraId="3C269035">
      <w:pPr>
        <w:ind w:firstLine="560"/>
        <w:rPr>
          <w:rFonts w:ascii="Times New Roman" w:hAnsi="Times New Roman"/>
        </w:rPr>
      </w:pPr>
      <w:r>
        <w:rPr>
          <w:rFonts w:ascii="Times New Roman" w:hAnsi="Times New Roman"/>
        </w:rPr>
        <w:t>本片区作为青阳县东部重点城镇板块，周边基础设施较完善，结合《青阳县新河镇XHCZDY-01单元详细规划》，随着本区域建设的推进，基础设施建设能够支撑成片开发建设。</w:t>
      </w:r>
    </w:p>
    <w:p w14:paraId="6F7B4BBD">
      <w:pPr>
        <w:ind w:firstLine="562"/>
        <w:rPr>
          <w:rFonts w:ascii="Times New Roman" w:hAnsi="Times New Roman"/>
          <w:b/>
        </w:rPr>
      </w:pPr>
      <w:r>
        <w:rPr>
          <w:rFonts w:ascii="Times New Roman" w:hAnsi="Times New Roman"/>
          <w:b/>
        </w:rPr>
        <w:t>（1）交通条件</w:t>
      </w:r>
    </w:p>
    <w:p w14:paraId="0C00434E">
      <w:pPr>
        <w:ind w:firstLine="560"/>
        <w:rPr>
          <w:rFonts w:ascii="Times New Roman" w:hAnsi="Times New Roman"/>
        </w:rPr>
      </w:pPr>
      <w:r>
        <w:rPr>
          <w:rFonts w:ascii="Times New Roman" w:hAnsi="Times New Roman"/>
        </w:rPr>
        <w:t>该区域交通设施较完善，对外交通主要依托等级公路。国省道主要G318、G330；县乡道主要 X302 、Y029 、Y038、Y142 等县乡等级公路。</w:t>
      </w:r>
    </w:p>
    <w:p w14:paraId="7B680766">
      <w:pPr>
        <w:ind w:firstLine="562"/>
        <w:rPr>
          <w:rFonts w:ascii="Times New Roman" w:hAnsi="Times New Roman"/>
        </w:rPr>
      </w:pPr>
      <w:r>
        <w:rPr>
          <w:rFonts w:ascii="Times New Roman" w:hAnsi="Times New Roman"/>
          <w:b/>
        </w:rPr>
        <w:t>内部道路：</w:t>
      </w:r>
      <w:r>
        <w:rPr>
          <w:rFonts w:ascii="Times New Roman" w:hAnsi="Times New Roman"/>
        </w:rPr>
        <w:t>采用主干路-次干路-支路三个等级，主干路包括新河大道和工业园一路；次干路包括工业园三路、上粽路和东山路；支路包括曹板路、镇界路和纬一路，可满足片区开发后的交通运输需求。</w:t>
      </w:r>
    </w:p>
    <w:p w14:paraId="691E37AF">
      <w:pPr>
        <w:keepNext/>
        <w:ind w:firstLine="0" w:firstLineChars="0"/>
        <w:jc w:val="center"/>
        <w:rPr>
          <w:rFonts w:ascii="Times New Roman" w:hAnsi="Times New Roman"/>
        </w:rPr>
      </w:pPr>
      <w:r>
        <w:rPr>
          <w:rFonts w:ascii="Times New Roman" w:hAnsi="Times New Roman"/>
        </w:rPr>
        <w:drawing>
          <wp:anchor distT="0" distB="0" distL="114300" distR="114300" simplePos="0" relativeHeight="251659264" behindDoc="0" locked="0" layoutInCell="1" allowOverlap="1">
            <wp:simplePos x="0" y="0"/>
            <wp:positionH relativeFrom="column">
              <wp:posOffset>303530</wp:posOffset>
            </wp:positionH>
            <wp:positionV relativeFrom="paragraph">
              <wp:posOffset>1646555</wp:posOffset>
            </wp:positionV>
            <wp:extent cx="3562985" cy="1854200"/>
            <wp:effectExtent l="0" t="0" r="0" b="0"/>
            <wp:wrapNone/>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24" cstate="print">
                      <a:extLst>
                        <a:ext uri="{28A0092B-C50C-407E-A947-70E740481C1C}">
                          <a14:useLocalDpi xmlns:a14="http://schemas.microsoft.com/office/drawing/2010/main" val="0"/>
                        </a:ext>
                      </a:extLst>
                    </a:blip>
                    <a:srcRect l="4954" t="15749" r="4343" b="17559"/>
                    <a:stretch>
                      <a:fillRect/>
                    </a:stretch>
                  </pic:blipFill>
                  <pic:spPr>
                    <a:xfrm>
                      <a:off x="0" y="0"/>
                      <a:ext cx="3562767" cy="1854000"/>
                    </a:xfrm>
                    <a:prstGeom prst="rect">
                      <a:avLst/>
                    </a:prstGeom>
                    <a:ln>
                      <a:noFill/>
                    </a:ln>
                  </pic:spPr>
                </pic:pic>
              </a:graphicData>
            </a:graphic>
          </wp:anchor>
        </w:drawing>
      </w:r>
      <w:r>
        <w:rPr>
          <w:rFonts w:ascii="Times New Roman" w:hAnsi="Times New Roman"/>
        </w:rPr>
        <w:drawing>
          <wp:inline distT="0" distB="0" distL="0" distR="0">
            <wp:extent cx="5274310" cy="3727450"/>
            <wp:effectExtent l="0" t="0" r="2540" b="6350"/>
            <wp:docPr id="8" name="图片 8" descr="C:\Users\Lenovo\Desktop\新河镇\03青阳县新河镇XHCZDY-01单元详细规划—图集\XHCZDY-01单元详规-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Lenovo\Desktop\新河镇\03青阳县新河镇XHCZDY-01单元详细规划—图集\XHCZDY-01单元详规-08.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274310" cy="3727732"/>
                    </a:xfrm>
                    <a:prstGeom prst="rect">
                      <a:avLst/>
                    </a:prstGeom>
                    <a:noFill/>
                    <a:ln>
                      <a:noFill/>
                    </a:ln>
                  </pic:spPr>
                </pic:pic>
              </a:graphicData>
            </a:graphic>
          </wp:inline>
        </w:drawing>
      </w:r>
    </w:p>
    <w:p w14:paraId="4BD5E458">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12</w:t>
      </w:r>
      <w:r>
        <w:rPr>
          <w:rFonts w:ascii="Times New Roman" w:hAnsi="Times New Roman" w:eastAsia="黑体"/>
          <w:bCs/>
          <w:sz w:val="24"/>
        </w:rPr>
        <w:fldChar w:fldCharType="end"/>
      </w:r>
      <w:r>
        <w:rPr>
          <w:rFonts w:ascii="Times New Roman" w:hAnsi="Times New Roman" w:eastAsia="黑体"/>
          <w:bCs/>
          <w:sz w:val="24"/>
        </w:rPr>
        <w:t>道路系统规划图</w:t>
      </w:r>
    </w:p>
    <w:p w14:paraId="5C0ADE63">
      <w:pPr>
        <w:ind w:firstLine="562"/>
        <w:rPr>
          <w:rFonts w:ascii="Times New Roman" w:hAnsi="Times New Roman"/>
          <w:b/>
        </w:rPr>
      </w:pPr>
      <w:r>
        <w:rPr>
          <w:rFonts w:ascii="Times New Roman" w:hAnsi="Times New Roman"/>
          <w:b/>
        </w:rPr>
        <w:t>（2）给水工程条件</w:t>
      </w:r>
    </w:p>
    <w:p w14:paraId="0C791DF1">
      <w:pPr>
        <w:ind w:firstLine="562"/>
        <w:rPr>
          <w:rFonts w:ascii="Times New Roman" w:hAnsi="Times New Roman"/>
        </w:rPr>
      </w:pPr>
      <w:r>
        <w:rPr>
          <w:rFonts w:ascii="Times New Roman" w:hAnsi="Times New Roman"/>
          <w:b/>
        </w:rPr>
        <w:t>供水设施：</w:t>
      </w:r>
      <w:r>
        <w:rPr>
          <w:rFonts w:ascii="Times New Roman" w:hAnsi="Times New Roman"/>
        </w:rPr>
        <w:t>片区水源来自青阳县城南水厂，后接入新河水厂统一进行供水，日均最高供水量0.46万吨/日。预计片区建成后，最高日用水量约为0.23万吨/日。</w:t>
      </w:r>
    </w:p>
    <w:p w14:paraId="0CDAF44F">
      <w:pPr>
        <w:ind w:firstLine="560"/>
        <w:rPr>
          <w:rFonts w:ascii="Times New Roman" w:hAnsi="Times New Roman"/>
        </w:rPr>
      </w:pPr>
      <w:r>
        <w:rPr>
          <w:rFonts w:ascii="Times New Roman" w:hAnsi="Times New Roman"/>
        </w:rPr>
        <w:t>在主要道路下布置给水干管，支路下布置给水支管，并且尽量以环状形式敷设，以确保城镇用水的安全性和可靠性。室外给水管管径为DN200毫米～DN400毫米，并在主要道路上布置室外市政消火栓，其间距不得大于120米。</w:t>
      </w:r>
    </w:p>
    <w:p w14:paraId="0C9D760C">
      <w:pPr>
        <w:ind w:firstLine="560"/>
        <w:rPr>
          <w:rFonts w:ascii="Times New Roman" w:hAnsi="Times New Roman"/>
        </w:rPr>
      </w:pPr>
      <w:r>
        <w:rPr>
          <w:rFonts w:ascii="Times New Roman" w:hAnsi="Times New Roman"/>
        </w:rPr>
        <w:t>按规划建设给水工程后，可以满足本片区综合开发后的用水需求。</w:t>
      </w:r>
    </w:p>
    <w:p w14:paraId="45AE6A13">
      <w:pPr>
        <w:keepNext/>
        <w:ind w:firstLine="0" w:firstLineChars="0"/>
        <w:jc w:val="center"/>
        <w:rPr>
          <w:rFonts w:ascii="Times New Roman" w:hAnsi="Times New Roman"/>
        </w:rPr>
      </w:pPr>
      <w:r>
        <w:rPr>
          <w:rFonts w:ascii="Times New Roman" w:hAnsi="Times New Roman"/>
        </w:rPr>
        <w:drawing>
          <wp:anchor distT="0" distB="0" distL="114300" distR="114300" simplePos="0" relativeHeight="251667456" behindDoc="0" locked="0" layoutInCell="1" allowOverlap="1">
            <wp:simplePos x="0" y="0"/>
            <wp:positionH relativeFrom="column">
              <wp:posOffset>293370</wp:posOffset>
            </wp:positionH>
            <wp:positionV relativeFrom="paragraph">
              <wp:posOffset>1656715</wp:posOffset>
            </wp:positionV>
            <wp:extent cx="3562985" cy="1854200"/>
            <wp:effectExtent l="0" t="0" r="0" b="0"/>
            <wp:wrapNone/>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26" cstate="print">
                      <a:extLst>
                        <a:ext uri="{28A0092B-C50C-407E-A947-70E740481C1C}">
                          <a14:useLocalDpi xmlns:a14="http://schemas.microsoft.com/office/drawing/2010/main" val="0"/>
                        </a:ext>
                      </a:extLst>
                    </a:blip>
                    <a:srcRect l="4954" t="15749" r="4343" b="17559"/>
                    <a:stretch>
                      <a:fillRect/>
                    </a:stretch>
                  </pic:blipFill>
                  <pic:spPr>
                    <a:xfrm>
                      <a:off x="0" y="0"/>
                      <a:ext cx="3562769" cy="1854000"/>
                    </a:xfrm>
                    <a:prstGeom prst="rect">
                      <a:avLst/>
                    </a:prstGeom>
                    <a:ln>
                      <a:noFill/>
                    </a:ln>
                  </pic:spPr>
                </pic:pic>
              </a:graphicData>
            </a:graphic>
          </wp:anchor>
        </w:drawing>
      </w:r>
      <w:r>
        <w:rPr>
          <w:rFonts w:ascii="Times New Roman" w:hAnsi="Times New Roman"/>
        </w:rPr>
        <w:drawing>
          <wp:inline distT="0" distB="0" distL="0" distR="0">
            <wp:extent cx="5274310" cy="3727450"/>
            <wp:effectExtent l="0" t="0" r="2540" b="6350"/>
            <wp:docPr id="22" name="图片 22" descr="C:\Users\Lenovo\Desktop\新河镇\03青阳县新河镇XHCZDY-01单元详细规划—图集\XHCZDY-01单元详规-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Lenovo\Desktop\新河镇\03青阳县新河镇XHCZDY-01单元详细规划—图集\XHCZDY-01单元详规-15.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5274310" cy="3727919"/>
                    </a:xfrm>
                    <a:prstGeom prst="rect">
                      <a:avLst/>
                    </a:prstGeom>
                    <a:noFill/>
                    <a:ln>
                      <a:noFill/>
                    </a:ln>
                  </pic:spPr>
                </pic:pic>
              </a:graphicData>
            </a:graphic>
          </wp:inline>
        </w:drawing>
      </w:r>
    </w:p>
    <w:p w14:paraId="4CB172F9">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13</w:t>
      </w:r>
      <w:r>
        <w:rPr>
          <w:rFonts w:ascii="Times New Roman" w:hAnsi="Times New Roman" w:eastAsia="黑体"/>
          <w:bCs/>
          <w:sz w:val="24"/>
        </w:rPr>
        <w:fldChar w:fldCharType="end"/>
      </w:r>
      <w:r>
        <w:rPr>
          <w:rFonts w:ascii="Times New Roman" w:hAnsi="Times New Roman" w:eastAsia="黑体"/>
          <w:bCs/>
          <w:sz w:val="24"/>
        </w:rPr>
        <w:t xml:space="preserve"> 给水工程规划图</w:t>
      </w:r>
    </w:p>
    <w:p w14:paraId="68F0B76B">
      <w:pPr>
        <w:ind w:firstLine="562"/>
        <w:rPr>
          <w:rFonts w:ascii="Times New Roman" w:hAnsi="Times New Roman"/>
          <w:b/>
        </w:rPr>
      </w:pPr>
      <w:r>
        <w:rPr>
          <w:rFonts w:ascii="Times New Roman" w:hAnsi="Times New Roman"/>
          <w:b/>
        </w:rPr>
        <w:t>（3）排水工程条件</w:t>
      </w:r>
    </w:p>
    <w:p w14:paraId="5C9A7BD7">
      <w:pPr>
        <w:ind w:firstLine="562"/>
        <w:rPr>
          <w:rFonts w:ascii="Times New Roman" w:hAnsi="Times New Roman"/>
        </w:rPr>
      </w:pPr>
      <w:r>
        <w:rPr>
          <w:rFonts w:ascii="Times New Roman" w:hAnsi="Times New Roman"/>
          <w:b/>
        </w:rPr>
        <w:t>排水体制：</w:t>
      </w:r>
      <w:r>
        <w:rPr>
          <w:rFonts w:ascii="Times New Roman" w:hAnsi="Times New Roman"/>
        </w:rPr>
        <w:t>排水体制采用雨、污分流制排放。</w:t>
      </w:r>
    </w:p>
    <w:p w14:paraId="742F644C">
      <w:pPr>
        <w:ind w:firstLine="562"/>
        <w:rPr>
          <w:rFonts w:ascii="Times New Roman" w:hAnsi="Times New Roman"/>
        </w:rPr>
      </w:pPr>
      <w:r>
        <w:rPr>
          <w:rFonts w:ascii="Times New Roman" w:hAnsi="Times New Roman"/>
          <w:b/>
        </w:rPr>
        <w:t>雨水工程：</w:t>
      </w:r>
      <w:r>
        <w:rPr>
          <w:rFonts w:ascii="Times New Roman" w:hAnsi="Times New Roman"/>
        </w:rPr>
        <w:t>雨水就近排向附近的自然水系中。雨水管管径最大为</w:t>
      </w:r>
      <w:r>
        <w:rPr>
          <w:rFonts w:hint="eastAsia" w:ascii="Times New Roman" w:hAnsi="Times New Roman"/>
          <w:lang w:val="en-US" w:eastAsia="zh-CN"/>
        </w:rPr>
        <w:t>DN</w:t>
      </w:r>
      <w:r>
        <w:rPr>
          <w:rFonts w:ascii="Times New Roman" w:hAnsi="Times New Roman"/>
        </w:rPr>
        <w:t>600，最小管径为</w:t>
      </w:r>
      <w:r>
        <w:rPr>
          <w:rFonts w:hint="eastAsia" w:ascii="Times New Roman" w:hAnsi="Times New Roman"/>
          <w:lang w:val="en-US" w:eastAsia="zh-CN"/>
        </w:rPr>
        <w:t>DN</w:t>
      </w:r>
      <w:r>
        <w:rPr>
          <w:rFonts w:ascii="Times New Roman" w:hAnsi="Times New Roman"/>
        </w:rPr>
        <w:t>400。雨水管在道路下位置，以道路中间或偏东侧、南侧为主。雨水管起始端覆土深度不小于0.7米，一般为1.0米。按规划建设雨水工程后，可以满足本片区综合开发后的雨水排放需求。</w:t>
      </w:r>
    </w:p>
    <w:p w14:paraId="77E05478">
      <w:pPr>
        <w:ind w:firstLine="560"/>
        <w:rPr>
          <w:rFonts w:ascii="Times New Roman" w:hAnsi="Times New Roman"/>
        </w:rPr>
      </w:pPr>
    </w:p>
    <w:p w14:paraId="1761D3A2">
      <w:pPr>
        <w:keepNext/>
        <w:ind w:firstLine="0" w:firstLineChars="0"/>
        <w:jc w:val="center"/>
        <w:rPr>
          <w:rFonts w:ascii="Times New Roman" w:hAnsi="Times New Roman"/>
        </w:rPr>
      </w:pPr>
      <w:r>
        <w:rPr>
          <w:rFonts w:ascii="Times New Roman" w:hAnsi="Times New Roman"/>
        </w:rPr>
        <w:drawing>
          <wp:anchor distT="0" distB="0" distL="114300" distR="114300" simplePos="0" relativeHeight="251661312" behindDoc="0" locked="0" layoutInCell="1" allowOverlap="1">
            <wp:simplePos x="0" y="0"/>
            <wp:positionH relativeFrom="column">
              <wp:posOffset>302260</wp:posOffset>
            </wp:positionH>
            <wp:positionV relativeFrom="paragraph">
              <wp:posOffset>1647825</wp:posOffset>
            </wp:positionV>
            <wp:extent cx="3562985" cy="1854200"/>
            <wp:effectExtent l="0" t="0" r="0" b="0"/>
            <wp:wrapNone/>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26" cstate="print">
                      <a:extLst>
                        <a:ext uri="{28A0092B-C50C-407E-A947-70E740481C1C}">
                          <a14:useLocalDpi xmlns:a14="http://schemas.microsoft.com/office/drawing/2010/main" val="0"/>
                        </a:ext>
                      </a:extLst>
                    </a:blip>
                    <a:srcRect l="4954" t="15749" r="4343" b="17559"/>
                    <a:stretch>
                      <a:fillRect/>
                    </a:stretch>
                  </pic:blipFill>
                  <pic:spPr>
                    <a:xfrm>
                      <a:off x="0" y="0"/>
                      <a:ext cx="3562767" cy="1854000"/>
                    </a:xfrm>
                    <a:prstGeom prst="rect">
                      <a:avLst/>
                    </a:prstGeom>
                    <a:ln>
                      <a:noFill/>
                    </a:ln>
                  </pic:spPr>
                </pic:pic>
              </a:graphicData>
            </a:graphic>
          </wp:anchor>
        </w:drawing>
      </w:r>
      <w:r>
        <w:rPr>
          <w:rFonts w:ascii="Times New Roman" w:hAnsi="Times New Roman"/>
        </w:rPr>
        <w:drawing>
          <wp:inline distT="0" distB="0" distL="0" distR="0">
            <wp:extent cx="5274310" cy="3727450"/>
            <wp:effectExtent l="0" t="0" r="2540" b="6350"/>
            <wp:docPr id="15" name="图片 15" descr="C:\Users\Lenovo\Desktop\新河镇\03青阳县新河镇XHCZDY-01单元详细规划—图集\XHCZDY-01单元详规-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Users\Lenovo\Desktop\新河镇\03青阳县新河镇XHCZDY-01单元详细规划—图集\XHCZDY-01单元详规-17.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5274310" cy="3727919"/>
                    </a:xfrm>
                    <a:prstGeom prst="rect">
                      <a:avLst/>
                    </a:prstGeom>
                    <a:noFill/>
                    <a:ln>
                      <a:noFill/>
                    </a:ln>
                  </pic:spPr>
                </pic:pic>
              </a:graphicData>
            </a:graphic>
          </wp:inline>
        </w:drawing>
      </w:r>
    </w:p>
    <w:p w14:paraId="44A92F5E">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14</w:t>
      </w:r>
      <w:r>
        <w:rPr>
          <w:rFonts w:ascii="Times New Roman" w:hAnsi="Times New Roman" w:eastAsia="黑体"/>
          <w:bCs/>
          <w:sz w:val="24"/>
        </w:rPr>
        <w:fldChar w:fldCharType="end"/>
      </w:r>
      <w:r>
        <w:rPr>
          <w:rFonts w:ascii="Times New Roman" w:hAnsi="Times New Roman" w:eastAsia="黑体"/>
          <w:bCs/>
          <w:sz w:val="24"/>
        </w:rPr>
        <w:t xml:space="preserve"> 污水工程规划图</w:t>
      </w:r>
    </w:p>
    <w:p w14:paraId="5244BEE0">
      <w:pPr>
        <w:ind w:firstLine="562"/>
        <w:rPr>
          <w:rFonts w:ascii="Times New Roman" w:hAnsi="Times New Roman"/>
        </w:rPr>
      </w:pPr>
      <w:r>
        <w:rPr>
          <w:rFonts w:ascii="Times New Roman" w:hAnsi="Times New Roman"/>
          <w:b/>
        </w:rPr>
        <w:t>污水工程：</w:t>
      </w:r>
      <w:r>
        <w:rPr>
          <w:rFonts w:ascii="Times New Roman" w:hAnsi="Times New Roman"/>
        </w:rPr>
        <w:t>现状污水处理厂占地面积0.46公顷，现状设计规模为0.08万吨/日；后期规划于瑞祥钙业公司南侧新建一处污水处理设施，占地面积为2.2405公顷，工业发展区产生的污水接入污水处理设施进行集中处理，设计规模为0.6万吨/日。预测片区建成后总污水量为0.17万吨/日。</w:t>
      </w:r>
    </w:p>
    <w:p w14:paraId="7FC999DF">
      <w:pPr>
        <w:ind w:firstLine="560"/>
        <w:rPr>
          <w:rFonts w:ascii="Times New Roman" w:hAnsi="Times New Roman"/>
        </w:rPr>
      </w:pPr>
      <w:r>
        <w:rPr>
          <w:rFonts w:ascii="Times New Roman" w:hAnsi="Times New Roman"/>
        </w:rPr>
        <w:t>片区内沿地势低的道路设置污水干管，通过自流和污水提升泵送至污水处理厂，集中统一处理。主要干道布置污水干管，支路布置污水支管。污水管主要布置在道路东侧或南侧。管径为</w:t>
      </w:r>
      <w:r>
        <w:rPr>
          <w:rFonts w:hint="eastAsia" w:ascii="Times New Roman" w:hAnsi="Times New Roman"/>
          <w:lang w:val="en-US" w:eastAsia="zh-CN"/>
        </w:rPr>
        <w:t>DN</w:t>
      </w:r>
      <w:r>
        <w:rPr>
          <w:rFonts w:ascii="Times New Roman" w:hAnsi="Times New Roman"/>
        </w:rPr>
        <w:t>400-</w:t>
      </w:r>
      <w:r>
        <w:rPr>
          <w:rFonts w:hint="eastAsia" w:ascii="Times New Roman" w:hAnsi="Times New Roman"/>
          <w:lang w:val="en-US" w:eastAsia="zh-CN"/>
        </w:rPr>
        <w:t>DN</w:t>
      </w:r>
      <w:r>
        <w:rPr>
          <w:rFonts w:ascii="Times New Roman" w:hAnsi="Times New Roman"/>
        </w:rPr>
        <w:t>600。</w:t>
      </w:r>
    </w:p>
    <w:p w14:paraId="7E3BF646">
      <w:pPr>
        <w:ind w:firstLine="560"/>
        <w:rPr>
          <w:rFonts w:ascii="Times New Roman" w:hAnsi="Times New Roman"/>
        </w:rPr>
      </w:pPr>
      <w:r>
        <w:rPr>
          <w:rFonts w:ascii="Times New Roman" w:hAnsi="Times New Roman"/>
        </w:rPr>
        <w:t>按规划建设污水工程后，可以满足本片区综合开发后的污水处理需求。</w:t>
      </w:r>
    </w:p>
    <w:p w14:paraId="069CA3BF">
      <w:pPr>
        <w:keepNext/>
        <w:ind w:firstLine="0" w:firstLineChars="0"/>
        <w:jc w:val="center"/>
        <w:rPr>
          <w:rFonts w:ascii="Times New Roman" w:hAnsi="Times New Roman"/>
        </w:rPr>
      </w:pPr>
      <w:r>
        <w:rPr>
          <w:rFonts w:ascii="Times New Roman" w:hAnsi="Times New Roman"/>
        </w:rPr>
        <w:drawing>
          <wp:anchor distT="0" distB="0" distL="114300" distR="114300" simplePos="0" relativeHeight="251662336" behindDoc="0" locked="0" layoutInCell="1" allowOverlap="1">
            <wp:simplePos x="0" y="0"/>
            <wp:positionH relativeFrom="column">
              <wp:posOffset>296545</wp:posOffset>
            </wp:positionH>
            <wp:positionV relativeFrom="paragraph">
              <wp:posOffset>1658620</wp:posOffset>
            </wp:positionV>
            <wp:extent cx="3562985" cy="1854200"/>
            <wp:effectExtent l="0" t="0" r="0" b="0"/>
            <wp:wrapNone/>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29" cstate="print">
                      <a:extLst>
                        <a:ext uri="{28A0092B-C50C-407E-A947-70E740481C1C}">
                          <a14:useLocalDpi xmlns:a14="http://schemas.microsoft.com/office/drawing/2010/main" val="0"/>
                        </a:ext>
                      </a:extLst>
                    </a:blip>
                    <a:srcRect l="4954" t="15749" r="4343" b="17559"/>
                    <a:stretch>
                      <a:fillRect/>
                    </a:stretch>
                  </pic:blipFill>
                  <pic:spPr>
                    <a:xfrm>
                      <a:off x="0" y="0"/>
                      <a:ext cx="3562768" cy="1854000"/>
                    </a:xfrm>
                    <a:prstGeom prst="rect">
                      <a:avLst/>
                    </a:prstGeom>
                    <a:ln>
                      <a:noFill/>
                    </a:ln>
                  </pic:spPr>
                </pic:pic>
              </a:graphicData>
            </a:graphic>
          </wp:anchor>
        </w:drawing>
      </w:r>
      <w:r>
        <w:rPr>
          <w:rFonts w:ascii="Times New Roman" w:hAnsi="Times New Roman"/>
        </w:rPr>
        <w:drawing>
          <wp:inline distT="0" distB="0" distL="0" distR="0">
            <wp:extent cx="5274310" cy="3727450"/>
            <wp:effectExtent l="0" t="0" r="2540" b="6350"/>
            <wp:docPr id="20" name="图片 20" descr="C:\Users\Lenovo\Desktop\新河镇\03青阳县新河镇XHCZDY-01单元详细规划—图集\XHCZDY-01单元详规-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Users\Lenovo\Desktop\新河镇\03青阳县新河镇XHCZDY-01单元详细规划—图集\XHCZDY-01单元详规-16.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274310" cy="3727919"/>
                    </a:xfrm>
                    <a:prstGeom prst="rect">
                      <a:avLst/>
                    </a:prstGeom>
                    <a:noFill/>
                    <a:ln>
                      <a:noFill/>
                    </a:ln>
                  </pic:spPr>
                </pic:pic>
              </a:graphicData>
            </a:graphic>
          </wp:inline>
        </w:drawing>
      </w:r>
    </w:p>
    <w:p w14:paraId="15864091">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15</w:t>
      </w:r>
      <w:r>
        <w:rPr>
          <w:rFonts w:ascii="Times New Roman" w:hAnsi="Times New Roman" w:eastAsia="黑体"/>
          <w:bCs/>
          <w:sz w:val="24"/>
        </w:rPr>
        <w:fldChar w:fldCharType="end"/>
      </w:r>
      <w:r>
        <w:rPr>
          <w:rFonts w:ascii="Times New Roman" w:hAnsi="Times New Roman" w:eastAsia="黑体"/>
          <w:bCs/>
          <w:sz w:val="24"/>
        </w:rPr>
        <w:t xml:space="preserve"> 雨水工程规划图</w:t>
      </w:r>
    </w:p>
    <w:p w14:paraId="6C5461E0">
      <w:pPr>
        <w:ind w:firstLine="562"/>
        <w:rPr>
          <w:rFonts w:ascii="Times New Roman" w:hAnsi="Times New Roman"/>
          <w:b/>
        </w:rPr>
      </w:pPr>
      <w:r>
        <w:rPr>
          <w:rFonts w:ascii="Times New Roman" w:hAnsi="Times New Roman"/>
          <w:b/>
        </w:rPr>
        <w:t>（4）电力工程条件</w:t>
      </w:r>
    </w:p>
    <w:p w14:paraId="1FF8F800">
      <w:pPr>
        <w:ind w:firstLine="554"/>
        <w:rPr>
          <w:rFonts w:ascii="Times New Roman" w:hAnsi="Times New Roman"/>
        </w:rPr>
      </w:pPr>
      <w:r>
        <w:rPr>
          <w:rFonts w:ascii="Times New Roman" w:hAnsi="Times New Roman"/>
          <w:b/>
          <w:spacing w:val="-2"/>
          <w:szCs w:val="28"/>
        </w:rPr>
        <w:t>变电站</w:t>
      </w:r>
      <w:r>
        <w:rPr>
          <w:rFonts w:ascii="Times New Roman" w:hAnsi="Times New Roman"/>
          <w:b/>
        </w:rPr>
        <w:t>条件</w:t>
      </w:r>
      <w:r>
        <w:rPr>
          <w:rFonts w:ascii="Times New Roman" w:hAnsi="Times New Roman"/>
          <w:b/>
          <w:spacing w:val="-2"/>
          <w:szCs w:val="28"/>
        </w:rPr>
        <w:t>：</w:t>
      </w:r>
      <w:r>
        <w:rPr>
          <w:rFonts w:ascii="Times New Roman" w:hAnsi="Times New Roman"/>
          <w:spacing w:val="-2"/>
          <w:szCs w:val="28"/>
        </w:rPr>
        <w:t>由</w:t>
      </w:r>
      <w:r>
        <w:rPr>
          <w:rFonts w:ascii="Times New Roman" w:hAnsi="Times New Roman"/>
        </w:rPr>
        <w:t>现状35千伏黄檀变供电。</w:t>
      </w:r>
    </w:p>
    <w:p w14:paraId="0082CD4F">
      <w:pPr>
        <w:ind w:firstLine="562"/>
        <w:rPr>
          <w:rFonts w:ascii="Times New Roman" w:hAnsi="Times New Roman"/>
        </w:rPr>
      </w:pPr>
      <w:r>
        <w:rPr>
          <w:rFonts w:ascii="Times New Roman" w:hAnsi="Times New Roman"/>
          <w:b/>
        </w:rPr>
        <w:t>线路敷设条件：</w:t>
      </w:r>
      <w:r>
        <w:rPr>
          <w:rFonts w:ascii="Times New Roman" w:hAnsi="Times New Roman"/>
        </w:rPr>
        <w:t>35千伏线路亦采用架空沿道路敷设。10千伏以下电力线（含10千伏）尽量采用埋地敷设，一般采用管道与暗沟相结合的敷设方式。电力线路原则上以路东、路北作为主要通道，与弱电线路分置道路两侧。</w:t>
      </w:r>
    </w:p>
    <w:p w14:paraId="1C6775E8">
      <w:pPr>
        <w:ind w:firstLine="560"/>
        <w:rPr>
          <w:rFonts w:ascii="Times New Roman" w:hAnsi="Times New Roman"/>
        </w:rPr>
      </w:pPr>
      <w:r>
        <w:rPr>
          <w:rFonts w:ascii="Times New Roman" w:hAnsi="Times New Roman"/>
        </w:rPr>
        <w:t>按规划建设电力工程后，可以满足本片区综合开发后的用电需求。</w:t>
      </w:r>
    </w:p>
    <w:p w14:paraId="23D61A2D">
      <w:pPr>
        <w:ind w:firstLine="560"/>
        <w:rPr>
          <w:rFonts w:ascii="Times New Roman" w:hAnsi="Times New Roman"/>
        </w:rPr>
      </w:pPr>
    </w:p>
    <w:p w14:paraId="7900FBC1">
      <w:pPr>
        <w:keepNext/>
        <w:ind w:firstLine="0" w:firstLineChars="0"/>
        <w:jc w:val="center"/>
        <w:rPr>
          <w:rFonts w:ascii="Times New Roman" w:hAnsi="Times New Roman"/>
        </w:rPr>
      </w:pPr>
      <w:r>
        <w:rPr>
          <w:rFonts w:ascii="Times New Roman" w:hAnsi="Times New Roman"/>
        </w:rPr>
        <w:drawing>
          <wp:anchor distT="0" distB="0" distL="114300" distR="114300" simplePos="0" relativeHeight="251663360" behindDoc="0" locked="0" layoutInCell="1" allowOverlap="1">
            <wp:simplePos x="0" y="0"/>
            <wp:positionH relativeFrom="column">
              <wp:posOffset>300990</wp:posOffset>
            </wp:positionH>
            <wp:positionV relativeFrom="paragraph">
              <wp:posOffset>1665605</wp:posOffset>
            </wp:positionV>
            <wp:extent cx="3562985" cy="1854200"/>
            <wp:effectExtent l="0" t="0" r="0" b="0"/>
            <wp:wrapNone/>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26" cstate="print">
                      <a:extLst>
                        <a:ext uri="{28A0092B-C50C-407E-A947-70E740481C1C}">
                          <a14:useLocalDpi xmlns:a14="http://schemas.microsoft.com/office/drawing/2010/main" val="0"/>
                        </a:ext>
                      </a:extLst>
                    </a:blip>
                    <a:srcRect l="4954" t="15749" r="4343" b="17559"/>
                    <a:stretch>
                      <a:fillRect/>
                    </a:stretch>
                  </pic:blipFill>
                  <pic:spPr>
                    <a:xfrm>
                      <a:off x="0" y="0"/>
                      <a:ext cx="3562769" cy="1854000"/>
                    </a:xfrm>
                    <a:prstGeom prst="rect">
                      <a:avLst/>
                    </a:prstGeom>
                    <a:ln>
                      <a:noFill/>
                    </a:ln>
                  </pic:spPr>
                </pic:pic>
              </a:graphicData>
            </a:graphic>
          </wp:anchor>
        </w:drawing>
      </w:r>
      <w:r>
        <w:rPr>
          <w:rFonts w:ascii="Times New Roman" w:hAnsi="Times New Roman"/>
        </w:rPr>
        <w:drawing>
          <wp:inline distT="0" distB="0" distL="0" distR="0">
            <wp:extent cx="5274310" cy="3727450"/>
            <wp:effectExtent l="0" t="0" r="2540" b="6350"/>
            <wp:docPr id="23" name="图片 23" descr="C:\Users\Lenovo\Desktop\新河镇\03青阳县新河镇XHCZDY-01单元详细规划—图集\XHCZDY-01单元详规-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C:\Users\Lenovo\Desktop\新河镇\03青阳县新河镇XHCZDY-01单元详细规划—图集\XHCZDY-01单元详规-18.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5274310" cy="3727919"/>
                    </a:xfrm>
                    <a:prstGeom prst="rect">
                      <a:avLst/>
                    </a:prstGeom>
                    <a:noFill/>
                    <a:ln>
                      <a:noFill/>
                    </a:ln>
                  </pic:spPr>
                </pic:pic>
              </a:graphicData>
            </a:graphic>
          </wp:inline>
        </w:drawing>
      </w:r>
    </w:p>
    <w:p w14:paraId="5FF7067C">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16</w:t>
      </w:r>
      <w:r>
        <w:rPr>
          <w:rFonts w:ascii="Times New Roman" w:hAnsi="Times New Roman" w:eastAsia="黑体"/>
          <w:bCs/>
          <w:sz w:val="24"/>
        </w:rPr>
        <w:fldChar w:fldCharType="end"/>
      </w:r>
      <w:r>
        <w:rPr>
          <w:rFonts w:ascii="Times New Roman" w:hAnsi="Times New Roman" w:eastAsia="黑体"/>
          <w:bCs/>
          <w:sz w:val="24"/>
        </w:rPr>
        <w:t xml:space="preserve"> 电力工程规划图</w:t>
      </w:r>
    </w:p>
    <w:p w14:paraId="3E1E00EC">
      <w:pPr>
        <w:ind w:firstLine="562"/>
        <w:rPr>
          <w:rFonts w:ascii="Times New Roman" w:hAnsi="Times New Roman"/>
          <w:b/>
        </w:rPr>
      </w:pPr>
      <w:r>
        <w:rPr>
          <w:rFonts w:ascii="Times New Roman" w:hAnsi="Times New Roman"/>
          <w:b/>
        </w:rPr>
        <w:t>（5）电信工程条件</w:t>
      </w:r>
    </w:p>
    <w:p w14:paraId="55F42E17">
      <w:pPr>
        <w:ind w:firstLine="560"/>
        <w:rPr>
          <w:rFonts w:ascii="Times New Roman" w:hAnsi="Times New Roman"/>
          <w:b/>
          <w:spacing w:val="-2"/>
          <w:szCs w:val="28"/>
        </w:rPr>
      </w:pPr>
      <w:r>
        <w:rPr>
          <w:rFonts w:ascii="Times New Roman" w:hAnsi="Times New Roman"/>
        </w:rPr>
        <w:t>片区内固定和移动电话综合普及率达100%，宽带接入网覆盖率100%。结合运营商发展和5G技术需求，对现状机房进行扩建和改造，在有需求的地区增设机房，以增强区域内通信设施服务能力，可满足片区开发后的通信需求。</w:t>
      </w:r>
    </w:p>
    <w:p w14:paraId="4BACBB5B">
      <w:pPr>
        <w:keepNext/>
        <w:ind w:firstLine="0" w:firstLineChars="0"/>
        <w:jc w:val="center"/>
        <w:rPr>
          <w:rFonts w:ascii="Times New Roman" w:hAnsi="Times New Roman"/>
        </w:rPr>
      </w:pPr>
      <w:r>
        <w:rPr>
          <w:rFonts w:ascii="Times New Roman" w:hAnsi="Times New Roman"/>
        </w:rPr>
        <w:drawing>
          <wp:anchor distT="0" distB="0" distL="114300" distR="114300" simplePos="0" relativeHeight="251668480" behindDoc="0" locked="0" layoutInCell="1" allowOverlap="1">
            <wp:simplePos x="0" y="0"/>
            <wp:positionH relativeFrom="column">
              <wp:posOffset>304800</wp:posOffset>
            </wp:positionH>
            <wp:positionV relativeFrom="paragraph">
              <wp:posOffset>1652905</wp:posOffset>
            </wp:positionV>
            <wp:extent cx="3562985" cy="18542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6" cstate="print">
                      <a:extLst>
                        <a:ext uri="{28A0092B-C50C-407E-A947-70E740481C1C}">
                          <a14:useLocalDpi xmlns:a14="http://schemas.microsoft.com/office/drawing/2010/main" val="0"/>
                        </a:ext>
                      </a:extLst>
                    </a:blip>
                    <a:srcRect l="4954" t="15749" r="4343" b="17559"/>
                    <a:stretch>
                      <a:fillRect/>
                    </a:stretch>
                  </pic:blipFill>
                  <pic:spPr>
                    <a:xfrm>
                      <a:off x="0" y="0"/>
                      <a:ext cx="3562769" cy="1854000"/>
                    </a:xfrm>
                    <a:prstGeom prst="rect">
                      <a:avLst/>
                    </a:prstGeom>
                    <a:ln>
                      <a:noFill/>
                    </a:ln>
                  </pic:spPr>
                </pic:pic>
              </a:graphicData>
            </a:graphic>
          </wp:anchor>
        </w:drawing>
      </w:r>
      <w:r>
        <w:rPr>
          <w:rFonts w:ascii="Times New Roman" w:hAnsi="Times New Roman"/>
        </w:rPr>
        <w:drawing>
          <wp:inline distT="0" distB="0" distL="0" distR="0">
            <wp:extent cx="5274310" cy="3725545"/>
            <wp:effectExtent l="0" t="0" r="2540" b="8255"/>
            <wp:docPr id="28" name="图片 28" descr="C:\Users\Lenovo\Desktop\新河镇\03青阳县新河镇XHCZDY-01单元详细规划—图集\XHCZDY-01单元详规-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C:\Users\Lenovo\Desktop\新河镇\03青阳县新河镇XHCZDY-01单元详细规划—图集\XHCZDY-01单元详规-19.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274310" cy="3726142"/>
                    </a:xfrm>
                    <a:prstGeom prst="rect">
                      <a:avLst/>
                    </a:prstGeom>
                    <a:noFill/>
                    <a:ln>
                      <a:noFill/>
                    </a:ln>
                  </pic:spPr>
                </pic:pic>
              </a:graphicData>
            </a:graphic>
          </wp:inline>
        </w:drawing>
      </w:r>
    </w:p>
    <w:p w14:paraId="2970EFDD">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17</w:t>
      </w:r>
      <w:r>
        <w:rPr>
          <w:rFonts w:ascii="Times New Roman" w:hAnsi="Times New Roman" w:eastAsia="黑体"/>
          <w:bCs/>
          <w:sz w:val="24"/>
        </w:rPr>
        <w:fldChar w:fldCharType="end"/>
      </w:r>
      <w:r>
        <w:rPr>
          <w:rFonts w:ascii="Times New Roman" w:hAnsi="Times New Roman" w:eastAsia="黑体"/>
          <w:bCs/>
          <w:sz w:val="24"/>
        </w:rPr>
        <w:t xml:space="preserve"> 电力工程规划图</w:t>
      </w:r>
    </w:p>
    <w:p w14:paraId="5FBC15A2">
      <w:pPr>
        <w:ind w:firstLine="562"/>
        <w:rPr>
          <w:rFonts w:ascii="Times New Roman" w:hAnsi="Times New Roman"/>
          <w:b/>
        </w:rPr>
      </w:pPr>
      <w:r>
        <w:rPr>
          <w:rFonts w:ascii="Times New Roman" w:hAnsi="Times New Roman"/>
          <w:b/>
        </w:rPr>
        <w:t>（6）燃气工程条件</w:t>
      </w:r>
    </w:p>
    <w:p w14:paraId="11E4E0A2">
      <w:pPr>
        <w:ind w:firstLine="560"/>
        <w:rPr>
          <w:rFonts w:ascii="Times New Roman" w:hAnsi="Times New Roman"/>
        </w:rPr>
      </w:pPr>
      <w:r>
        <w:rPr>
          <w:rFonts w:ascii="Times New Roman" w:hAnsi="Times New Roman"/>
        </w:rPr>
        <w:t>天然气管道在片区主要道路下尽量布置成环状，采用中级压力管网系统。中压管管径为DN120～DN250。燃气户外管道采用耐腐蚀的PE管，户内管采用水煤气镀锌钢管，管道尽量敷设在慢车道、人行道或绿化带下。</w:t>
      </w:r>
    </w:p>
    <w:p w14:paraId="3BD94240">
      <w:pPr>
        <w:ind w:firstLine="560"/>
        <w:rPr>
          <w:rFonts w:ascii="Times New Roman" w:hAnsi="Times New Roman" w:eastAsia="Times New Roman"/>
          <w:snapToGrid w:val="0"/>
          <w:color w:val="000000"/>
          <w:w w:val="0"/>
          <w:kern w:val="0"/>
          <w:sz w:val="0"/>
          <w:szCs w:val="0"/>
          <w:u w:color="000000"/>
          <w:shd w:val="clear" w:color="000000" w:fill="000000"/>
          <w:lang w:val="zh-CN" w:eastAsia="zh-CN" w:bidi="zh-CN"/>
        </w:rPr>
      </w:pPr>
      <w:r>
        <w:rPr>
          <w:rFonts w:ascii="Times New Roman" w:hAnsi="Times New Roman"/>
        </w:rPr>
        <w:t>按规划建设燃气工程后，可以满足本片区综合开发后的用气需求。</w:t>
      </w:r>
      <w:r>
        <w:rPr>
          <w:rFonts w:ascii="Times New Roman" w:hAnsi="Times New Roman" w:eastAsia="Times New Roman"/>
          <w:snapToGrid w:val="0"/>
          <w:color w:val="000000"/>
          <w:w w:val="0"/>
          <w:kern w:val="0"/>
          <w:sz w:val="0"/>
          <w:szCs w:val="0"/>
          <w:u w:color="000000"/>
          <w:shd w:val="clear" w:color="000000" w:fill="000000"/>
          <w:lang w:val="zh-CN" w:eastAsia="zh-CN" w:bidi="zh-CN"/>
        </w:rPr>
        <w:t xml:space="preserve"> </w:t>
      </w:r>
    </w:p>
    <w:p w14:paraId="3FC3846C">
      <w:pPr>
        <w:ind w:firstLine="560"/>
        <w:rPr>
          <w:rFonts w:ascii="Times New Roman" w:hAnsi="Times New Roman"/>
          <w:lang w:val="zh-CN"/>
        </w:rPr>
      </w:pPr>
    </w:p>
    <w:p w14:paraId="5F393EC8">
      <w:pPr>
        <w:keepNext/>
        <w:ind w:firstLine="0" w:firstLineChars="0"/>
        <w:jc w:val="center"/>
        <w:rPr>
          <w:rFonts w:ascii="Times New Roman" w:hAnsi="Times New Roman"/>
        </w:rPr>
      </w:pPr>
      <w:r>
        <w:rPr>
          <w:rFonts w:ascii="Times New Roman" w:hAnsi="Times New Roman"/>
        </w:rPr>
        <w:drawing>
          <wp:anchor distT="0" distB="0" distL="114300" distR="114300" simplePos="0" relativeHeight="251664384" behindDoc="0" locked="0" layoutInCell="1" allowOverlap="1">
            <wp:simplePos x="0" y="0"/>
            <wp:positionH relativeFrom="column">
              <wp:posOffset>300355</wp:posOffset>
            </wp:positionH>
            <wp:positionV relativeFrom="paragraph">
              <wp:posOffset>1663700</wp:posOffset>
            </wp:positionV>
            <wp:extent cx="3562985" cy="1854200"/>
            <wp:effectExtent l="0" t="0" r="0" b="0"/>
            <wp:wrapNone/>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33" cstate="print">
                      <a:extLst>
                        <a:ext uri="{28A0092B-C50C-407E-A947-70E740481C1C}">
                          <a14:useLocalDpi xmlns:a14="http://schemas.microsoft.com/office/drawing/2010/main" val="0"/>
                        </a:ext>
                      </a:extLst>
                    </a:blip>
                    <a:srcRect l="4954" t="15749" r="4343" b="17559"/>
                    <a:stretch>
                      <a:fillRect/>
                    </a:stretch>
                  </pic:blipFill>
                  <pic:spPr>
                    <a:xfrm>
                      <a:off x="0" y="0"/>
                      <a:ext cx="3562769" cy="1854000"/>
                    </a:xfrm>
                    <a:prstGeom prst="rect">
                      <a:avLst/>
                    </a:prstGeom>
                    <a:ln>
                      <a:noFill/>
                    </a:ln>
                  </pic:spPr>
                </pic:pic>
              </a:graphicData>
            </a:graphic>
          </wp:anchor>
        </w:drawing>
      </w:r>
      <w:r>
        <w:rPr>
          <w:rFonts w:ascii="Times New Roman" w:hAnsi="Times New Roman"/>
        </w:rPr>
        <w:drawing>
          <wp:inline distT="0" distB="0" distL="0" distR="0">
            <wp:extent cx="5274310" cy="3727450"/>
            <wp:effectExtent l="0" t="0" r="2540" b="6350"/>
            <wp:docPr id="24" name="图片 24" descr="C:\Users\Lenovo\Desktop\新河镇\03青阳县新河镇XHCZDY-01单元详细规划—图集\XHCZDY-01单元详规-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C:\Users\Lenovo\Desktop\新河镇\03青阳县新河镇XHCZDY-01单元详细规划—图集\XHCZDY-01单元详规-2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274310" cy="3727919"/>
                    </a:xfrm>
                    <a:prstGeom prst="rect">
                      <a:avLst/>
                    </a:prstGeom>
                    <a:noFill/>
                    <a:ln>
                      <a:noFill/>
                    </a:ln>
                  </pic:spPr>
                </pic:pic>
              </a:graphicData>
            </a:graphic>
          </wp:inline>
        </w:drawing>
      </w:r>
    </w:p>
    <w:p w14:paraId="4444D8D8">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18</w:t>
      </w:r>
      <w:r>
        <w:rPr>
          <w:rFonts w:ascii="Times New Roman" w:hAnsi="Times New Roman" w:eastAsia="黑体"/>
          <w:bCs/>
          <w:sz w:val="24"/>
        </w:rPr>
        <w:fldChar w:fldCharType="end"/>
      </w:r>
      <w:r>
        <w:rPr>
          <w:rFonts w:ascii="Times New Roman" w:hAnsi="Times New Roman" w:eastAsia="黑体"/>
          <w:bCs/>
          <w:sz w:val="24"/>
        </w:rPr>
        <w:t>燃气工程规划图</w:t>
      </w:r>
    </w:p>
    <w:p w14:paraId="5A243D7C">
      <w:pPr>
        <w:ind w:firstLine="562"/>
        <w:rPr>
          <w:rFonts w:ascii="Times New Roman" w:hAnsi="Times New Roman"/>
          <w:b/>
        </w:rPr>
      </w:pPr>
      <w:r>
        <w:rPr>
          <w:rFonts w:ascii="Times New Roman" w:hAnsi="Times New Roman"/>
          <w:b/>
        </w:rPr>
        <w:t>（7）环卫工程条件</w:t>
      </w:r>
    </w:p>
    <w:p w14:paraId="79F52203">
      <w:pPr>
        <w:ind w:firstLine="562"/>
        <w:rPr>
          <w:rFonts w:ascii="Times New Roman" w:hAnsi="Times New Roman"/>
        </w:rPr>
      </w:pPr>
      <w:r>
        <w:rPr>
          <w:rFonts w:ascii="Times New Roman" w:hAnsi="Times New Roman"/>
          <w:b/>
        </w:rPr>
        <w:t>垃圾收运处理：</w:t>
      </w:r>
      <w:r>
        <w:rPr>
          <w:rFonts w:ascii="Times New Roman" w:hAnsi="Times New Roman"/>
        </w:rPr>
        <w:t>生活垃圾收集点的服务半径不宜超过70米，本片区内规划配套垃圾中转站一处，建设面积不小于50m</w:t>
      </w:r>
      <w:r>
        <w:rPr>
          <w:rFonts w:ascii="Times New Roman" w:hAnsi="Times New Roman"/>
          <w:vertAlign w:val="superscript"/>
        </w:rPr>
        <w:t>2</w:t>
      </w:r>
      <w:r>
        <w:rPr>
          <w:rFonts w:ascii="Times New Roman" w:hAnsi="Times New Roman"/>
        </w:rPr>
        <w:t>。废物箱应设置在道路两侧，道路设置间距为100米-200米，人流活动密集道路按30米-100米设置；工业园区道路设置间距为200米-400米。</w:t>
      </w:r>
    </w:p>
    <w:p w14:paraId="26F1FA67">
      <w:pPr>
        <w:ind w:firstLine="562"/>
        <w:rPr>
          <w:rFonts w:ascii="Times New Roman" w:hAnsi="Times New Roman"/>
        </w:rPr>
      </w:pPr>
      <w:r>
        <w:rPr>
          <w:rFonts w:ascii="Times New Roman" w:hAnsi="Times New Roman"/>
          <w:b/>
        </w:rPr>
        <w:t>公共厕所：</w:t>
      </w:r>
      <w:r>
        <w:rPr>
          <w:rFonts w:ascii="Times New Roman" w:hAnsi="Times New Roman"/>
        </w:rPr>
        <w:t>公厕配置贯彻建设独立式、附建式公厕和社会公厕对外开放相结合的原则。每座30-50㎡建筑面积。本片区共计设置公厕5座。</w:t>
      </w:r>
    </w:p>
    <w:p w14:paraId="439F56E4">
      <w:pPr>
        <w:ind w:firstLine="562"/>
        <w:rPr>
          <w:rFonts w:ascii="Times New Roman" w:hAnsi="Times New Roman"/>
        </w:rPr>
      </w:pPr>
      <w:r>
        <w:rPr>
          <w:rFonts w:ascii="Times New Roman" w:hAnsi="Times New Roman"/>
          <w:b/>
        </w:rPr>
        <w:t>道路清扫：</w:t>
      </w:r>
      <w:r>
        <w:rPr>
          <w:rFonts w:ascii="Times New Roman" w:hAnsi="Times New Roman"/>
        </w:rPr>
        <w:t>主次干道采用机械化清扫，支路采取机械化清扫与人工清扫相结合，人行道实现机械化清扫和人工保洁结合的作业方式。</w:t>
      </w:r>
    </w:p>
    <w:p w14:paraId="12BD534E">
      <w:pPr>
        <w:ind w:firstLine="560"/>
        <w:rPr>
          <w:rFonts w:ascii="Times New Roman" w:hAnsi="Times New Roman"/>
        </w:rPr>
      </w:pPr>
      <w:r>
        <w:rPr>
          <w:rFonts w:ascii="Times New Roman" w:hAnsi="Times New Roman"/>
        </w:rPr>
        <w:t>环卫设施按规划配置后，可以满足本片区综合开发后的环境卫生需求。</w:t>
      </w:r>
    </w:p>
    <w:p w14:paraId="31CE7650">
      <w:pPr>
        <w:keepNext/>
        <w:ind w:firstLine="0" w:firstLineChars="0"/>
        <w:jc w:val="center"/>
        <w:rPr>
          <w:rFonts w:ascii="Times New Roman" w:hAnsi="Times New Roman"/>
        </w:rPr>
      </w:pPr>
      <w:r>
        <w:rPr>
          <w:rFonts w:ascii="Times New Roman" w:hAnsi="Times New Roman"/>
        </w:rPr>
        <w:drawing>
          <wp:anchor distT="0" distB="0" distL="114300" distR="114300" simplePos="0" relativeHeight="251665408" behindDoc="0" locked="0" layoutInCell="1" allowOverlap="1">
            <wp:simplePos x="0" y="0"/>
            <wp:positionH relativeFrom="column">
              <wp:posOffset>297180</wp:posOffset>
            </wp:positionH>
            <wp:positionV relativeFrom="paragraph">
              <wp:posOffset>1658620</wp:posOffset>
            </wp:positionV>
            <wp:extent cx="3562985" cy="1854200"/>
            <wp:effectExtent l="0" t="0" r="0" b="0"/>
            <wp:wrapNone/>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33" cstate="print">
                      <a:extLst>
                        <a:ext uri="{28A0092B-C50C-407E-A947-70E740481C1C}">
                          <a14:useLocalDpi xmlns:a14="http://schemas.microsoft.com/office/drawing/2010/main" val="0"/>
                        </a:ext>
                      </a:extLst>
                    </a:blip>
                    <a:srcRect l="4954" t="15749" r="4343" b="17559"/>
                    <a:stretch>
                      <a:fillRect/>
                    </a:stretch>
                  </pic:blipFill>
                  <pic:spPr>
                    <a:xfrm>
                      <a:off x="0" y="0"/>
                      <a:ext cx="3562769" cy="1854000"/>
                    </a:xfrm>
                    <a:prstGeom prst="rect">
                      <a:avLst/>
                    </a:prstGeom>
                    <a:ln>
                      <a:noFill/>
                    </a:ln>
                  </pic:spPr>
                </pic:pic>
              </a:graphicData>
            </a:graphic>
          </wp:anchor>
        </w:drawing>
      </w:r>
      <w:r>
        <w:rPr>
          <w:rFonts w:ascii="Times New Roman" w:hAnsi="Times New Roman"/>
        </w:rPr>
        <w:drawing>
          <wp:inline distT="0" distB="0" distL="0" distR="0">
            <wp:extent cx="5274310" cy="3727450"/>
            <wp:effectExtent l="0" t="0" r="2540" b="6350"/>
            <wp:docPr id="25" name="图片 25" descr="C:\Users\Lenovo\Desktop\新河镇\03青阳县新河镇XHCZDY-01单元详细规划—图集\XHCZDY-01单元详规-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C:\Users\Lenovo\Desktop\新河镇\03青阳县新河镇XHCZDY-01单元详细规划—图集\XHCZDY-01单元详规-2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5274310" cy="3727919"/>
                    </a:xfrm>
                    <a:prstGeom prst="rect">
                      <a:avLst/>
                    </a:prstGeom>
                    <a:noFill/>
                    <a:ln>
                      <a:noFill/>
                    </a:ln>
                  </pic:spPr>
                </pic:pic>
              </a:graphicData>
            </a:graphic>
          </wp:inline>
        </w:drawing>
      </w:r>
    </w:p>
    <w:p w14:paraId="07B687CD">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19</w:t>
      </w:r>
      <w:r>
        <w:rPr>
          <w:rFonts w:ascii="Times New Roman" w:hAnsi="Times New Roman" w:eastAsia="黑体"/>
          <w:bCs/>
          <w:sz w:val="24"/>
        </w:rPr>
        <w:fldChar w:fldCharType="end"/>
      </w:r>
      <w:r>
        <w:rPr>
          <w:rFonts w:ascii="Times New Roman" w:hAnsi="Times New Roman" w:eastAsia="黑体"/>
          <w:bCs/>
          <w:sz w:val="24"/>
        </w:rPr>
        <w:t xml:space="preserve"> 环卫工程规划图</w:t>
      </w:r>
    </w:p>
    <w:p w14:paraId="3133A7F2">
      <w:pPr>
        <w:ind w:firstLine="562"/>
        <w:rPr>
          <w:rFonts w:ascii="Times New Roman" w:hAnsi="Times New Roman"/>
          <w:b/>
        </w:rPr>
      </w:pPr>
      <w:r>
        <w:rPr>
          <w:rFonts w:ascii="Times New Roman" w:hAnsi="Times New Roman"/>
          <w:b/>
        </w:rPr>
        <w:t>（8）综合防灾条件</w:t>
      </w:r>
    </w:p>
    <w:p w14:paraId="67E86CE9">
      <w:pPr>
        <w:ind w:firstLine="560"/>
        <w:rPr>
          <w:rFonts w:ascii="Times New Roman" w:hAnsi="Times New Roman"/>
        </w:rPr>
      </w:pPr>
      <w:r>
        <w:rPr>
          <w:rFonts w:ascii="Times New Roman" w:hAnsi="Times New Roman"/>
        </w:rPr>
        <w:t>防灾工程规划的内容主要由消防规划、抗震规划、防洪排涝规划、人防工程规划组成，共同构成规划范围的防灾体系。</w:t>
      </w:r>
    </w:p>
    <w:p w14:paraId="6C3195C0">
      <w:pPr>
        <w:ind w:firstLine="562"/>
        <w:rPr>
          <w:rFonts w:ascii="Times New Roman" w:hAnsi="Times New Roman"/>
        </w:rPr>
      </w:pPr>
      <w:r>
        <w:rPr>
          <w:rFonts w:ascii="Times New Roman" w:hAnsi="Times New Roman"/>
          <w:b/>
        </w:rPr>
        <w:t>消防工程条件：</w:t>
      </w:r>
      <w:r>
        <w:rPr>
          <w:rFonts w:ascii="Times New Roman" w:hAnsi="Times New Roman"/>
        </w:rPr>
        <w:t>消防通道间距不宜大于160米，当建筑物的沿街部分长度超过150米或总长度超过220米时，均应设置穿过建筑物的消防车道。消防车道的宽度不应小于4米，道路上空遇有管架、栈桥等障碍物时，其净高不应小于4米，消防车道承载力应大于20吨/平方米。</w:t>
      </w:r>
    </w:p>
    <w:p w14:paraId="31DEDF29">
      <w:pPr>
        <w:ind w:firstLine="562"/>
        <w:rPr>
          <w:rFonts w:ascii="Times New Roman" w:hAnsi="Times New Roman"/>
        </w:rPr>
      </w:pPr>
      <w:r>
        <w:rPr>
          <w:rFonts w:ascii="Times New Roman" w:hAnsi="Times New Roman"/>
          <w:b/>
        </w:rPr>
        <w:t>抗震防灾条件：</w:t>
      </w:r>
      <w:r>
        <w:rPr>
          <w:rFonts w:ascii="Times New Roman" w:hAnsi="Times New Roman"/>
        </w:rPr>
        <w:t>抗震烈度按六度设防，城镇生命线工程提高一个等级设防。就近疏散，一般疏散场地应在半小时内到达。疏散场地周围无次生灾害源。道路通畅，应有2个以上通道出入。附近有水源、电源，地势较高，场地较好不致积水，并有相当排水措施。尽可能利用公园、街头绿地、学校操场、广场、停车场、单位院落等空旷场地。疏散半径为0.3～0.5公里，人均疏散占地面积为2～3平方米的要求。道路应符合避震疏散的要求，主要疏散通道宽度在15米以上。</w:t>
      </w:r>
    </w:p>
    <w:p w14:paraId="73D10753">
      <w:pPr>
        <w:ind w:firstLine="562"/>
        <w:rPr>
          <w:rFonts w:ascii="Times New Roman" w:hAnsi="Times New Roman"/>
        </w:rPr>
      </w:pPr>
      <w:r>
        <w:rPr>
          <w:rFonts w:ascii="Times New Roman" w:hAnsi="Times New Roman"/>
          <w:b/>
        </w:rPr>
        <w:t>防洪条件：</w:t>
      </w:r>
      <w:r>
        <w:rPr>
          <w:rFonts w:ascii="Times New Roman" w:hAnsi="Times New Roman"/>
        </w:rPr>
        <w:t>生活配套区防洪标准按20年一遇标准，产业发展区防洪标准按50年一遇标准。</w:t>
      </w:r>
    </w:p>
    <w:p w14:paraId="2A4BF393">
      <w:pPr>
        <w:ind w:firstLine="560"/>
        <w:rPr>
          <w:rFonts w:ascii="Times New Roman" w:hAnsi="Times New Roman"/>
        </w:rPr>
      </w:pPr>
      <w:r>
        <w:rPr>
          <w:rFonts w:ascii="Times New Roman" w:hAnsi="Times New Roman"/>
        </w:rPr>
        <w:t>按规划建设消防、抗震、防洪设施后，可以满足本片区开发后的综合防灾需求。</w:t>
      </w:r>
    </w:p>
    <w:p w14:paraId="44AC6B69">
      <w:pPr>
        <w:keepNext/>
        <w:ind w:firstLine="0" w:firstLineChars="0"/>
        <w:jc w:val="center"/>
        <w:rPr>
          <w:rFonts w:ascii="Times New Roman" w:hAnsi="Times New Roman"/>
        </w:rPr>
      </w:pPr>
      <w:r>
        <w:rPr>
          <w:rFonts w:ascii="Times New Roman" w:hAnsi="Times New Roman"/>
        </w:rPr>
        <w:drawing>
          <wp:anchor distT="0" distB="0" distL="114300" distR="114300" simplePos="0" relativeHeight="251666432" behindDoc="0" locked="0" layoutInCell="1" allowOverlap="1">
            <wp:simplePos x="0" y="0"/>
            <wp:positionH relativeFrom="column">
              <wp:posOffset>300990</wp:posOffset>
            </wp:positionH>
            <wp:positionV relativeFrom="paragraph">
              <wp:posOffset>1653540</wp:posOffset>
            </wp:positionV>
            <wp:extent cx="3562985" cy="1854200"/>
            <wp:effectExtent l="0" t="0" r="0" b="0"/>
            <wp:wrapNone/>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36" cstate="print">
                      <a:extLst>
                        <a:ext uri="{28A0092B-C50C-407E-A947-70E740481C1C}">
                          <a14:useLocalDpi xmlns:a14="http://schemas.microsoft.com/office/drawing/2010/main" val="0"/>
                        </a:ext>
                      </a:extLst>
                    </a:blip>
                    <a:srcRect l="4954" t="15749" r="4343" b="17559"/>
                    <a:stretch>
                      <a:fillRect/>
                    </a:stretch>
                  </pic:blipFill>
                  <pic:spPr>
                    <a:xfrm>
                      <a:off x="0" y="0"/>
                      <a:ext cx="3562769" cy="1854000"/>
                    </a:xfrm>
                    <a:prstGeom prst="rect">
                      <a:avLst/>
                    </a:prstGeom>
                    <a:ln>
                      <a:noFill/>
                    </a:ln>
                  </pic:spPr>
                </pic:pic>
              </a:graphicData>
            </a:graphic>
          </wp:anchor>
        </w:drawing>
      </w:r>
      <w:r>
        <w:rPr>
          <w:rFonts w:ascii="Times New Roman" w:hAnsi="Times New Roman"/>
        </w:rPr>
        <w:drawing>
          <wp:inline distT="0" distB="0" distL="0" distR="0">
            <wp:extent cx="5274310" cy="3727450"/>
            <wp:effectExtent l="0" t="0" r="2540" b="6350"/>
            <wp:docPr id="26" name="图片 26" descr="C:\Users\Lenovo\Desktop\新河镇\03青阳县新河镇XHCZDY-01单元详细规划—图集\XHCZDY-01单元详规-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C:\Users\Lenovo\Desktop\新河镇\03青阳县新河镇XHCZDY-01单元详细规划—图集\XHCZDY-01单元详规-2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5274310" cy="3727919"/>
                    </a:xfrm>
                    <a:prstGeom prst="rect">
                      <a:avLst/>
                    </a:prstGeom>
                    <a:noFill/>
                    <a:ln>
                      <a:noFill/>
                    </a:ln>
                  </pic:spPr>
                </pic:pic>
              </a:graphicData>
            </a:graphic>
          </wp:inline>
        </w:drawing>
      </w:r>
    </w:p>
    <w:p w14:paraId="19FA66C7">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20</w:t>
      </w:r>
      <w:r>
        <w:rPr>
          <w:rFonts w:ascii="Times New Roman" w:hAnsi="Times New Roman" w:eastAsia="黑体"/>
          <w:bCs/>
          <w:sz w:val="24"/>
        </w:rPr>
        <w:fldChar w:fldCharType="end"/>
      </w:r>
      <w:r>
        <w:rPr>
          <w:rFonts w:ascii="Times New Roman" w:hAnsi="Times New Roman" w:eastAsia="黑体"/>
          <w:bCs/>
          <w:sz w:val="24"/>
        </w:rPr>
        <w:t xml:space="preserve"> 综合防灾规划图</w:t>
      </w:r>
    </w:p>
    <w:p w14:paraId="728DDBAA">
      <w:pPr>
        <w:ind w:firstLine="562"/>
        <w:rPr>
          <w:rFonts w:ascii="Times New Roman" w:hAnsi="Times New Roman"/>
          <w:b/>
        </w:rPr>
      </w:pPr>
      <w:r>
        <w:rPr>
          <w:rFonts w:ascii="Times New Roman" w:hAnsi="Times New Roman"/>
          <w:b/>
        </w:rPr>
        <w:t>（9）医疗教育条件</w:t>
      </w:r>
    </w:p>
    <w:p w14:paraId="275A145C">
      <w:pPr>
        <w:ind w:firstLine="560"/>
        <w:rPr>
          <w:rFonts w:ascii="Times New Roman" w:hAnsi="Times New Roman"/>
        </w:rPr>
      </w:pPr>
      <w:r>
        <w:rPr>
          <w:rFonts w:ascii="Times New Roman" w:hAnsi="Times New Roman"/>
        </w:rPr>
        <w:t>本片区位于主城区东部，紧邻主城区建成区，通过G318与城区互联互通。主城区商业综合体距本片区仅6公里，暂能满足片区消费需求。青阳县人民医院、康平医院、青阳县中医院、青阳城西医院均分布在片区8公里范围内，基本满足现阶段医疗需求，片区内现有新河卫生院，为片区提供良好的医疗保障。片区内现有童之忆幼儿园和新河中心小学，初高中主要依托青阳县第一中学、青阳县第四中学、青中等多所高级中学，能满足该片区居民从幼教到高中的教育需求，随着本片区进一步开发，片区的教育资源可得到进一步提升。</w:t>
      </w:r>
    </w:p>
    <w:p w14:paraId="045EF18B">
      <w:pPr>
        <w:pStyle w:val="2"/>
        <w:ind w:firstLine="602"/>
        <w:jc w:val="both"/>
        <w:rPr>
          <w:rFonts w:ascii="Times New Roman" w:hAnsi="Times New Roman" w:cs="Times New Roman"/>
        </w:rPr>
      </w:pPr>
      <w:bookmarkStart w:id="10" w:name="_Toc207347464"/>
      <w:r>
        <w:rPr>
          <w:rFonts w:ascii="Times New Roman" w:hAnsi="Times New Roman" w:cs="Times New Roman"/>
        </w:rPr>
        <w:t>成片开发的必要性、主要用途和实现的功能</w:t>
      </w:r>
      <w:bookmarkEnd w:id="10"/>
    </w:p>
    <w:p w14:paraId="25B654C2">
      <w:pPr>
        <w:pStyle w:val="3"/>
        <w:ind w:firstLine="560"/>
        <w:rPr>
          <w:rFonts w:ascii="Times New Roman" w:hAnsi="Times New Roman"/>
        </w:rPr>
      </w:pPr>
      <w:bookmarkStart w:id="11" w:name="_Toc207347465"/>
      <w:r>
        <w:rPr>
          <w:rFonts w:ascii="Times New Roman" w:hAnsi="Times New Roman"/>
        </w:rPr>
        <w:t>必要性</w:t>
      </w:r>
      <w:bookmarkEnd w:id="11"/>
    </w:p>
    <w:p w14:paraId="770584A4">
      <w:pPr>
        <w:ind w:firstLine="560"/>
        <w:rPr>
          <w:rFonts w:ascii="Times New Roman" w:hAnsi="Times New Roman"/>
        </w:rPr>
      </w:pPr>
      <w:r>
        <w:rPr>
          <w:rFonts w:ascii="Times New Roman" w:hAnsi="Times New Roman"/>
        </w:rPr>
        <w:t>（1）在实现国民经济和社会发展规划方面</w:t>
      </w:r>
    </w:p>
    <w:p w14:paraId="01BCC3DD">
      <w:pPr>
        <w:ind w:firstLine="560"/>
        <w:rPr>
          <w:rFonts w:ascii="Times New Roman" w:hAnsi="Times New Roman"/>
        </w:rPr>
      </w:pPr>
      <w:r>
        <w:rPr>
          <w:rFonts w:ascii="Times New Roman" w:hAnsi="Times New Roman"/>
        </w:rPr>
        <w:t>《青阳县国民经济和社会发展第十四个五年规划和2035年远景目标纲要》规划指出：以集群集聚、智能转型、数字化建设为方向，以“融带、接链”为路径，优化存量、培育增量、提升质量、扩大总量，推动“双百亿”产业与现代服务业融合发展，努力构建智能、绿色、高效的新型工业经济体系；同时提出加强项目用地用能等要素保障，对重大投资项目开设绿色通道。围绕中心城区、经济开发区（东河园、木镇园、新河园、童埠新区）、各乡镇中心集镇商贸及工业区等重点开发片区开发建设，编制实施土地征收成片开发方案，建立土地征收成片开发项目储备库。本片区功能定位为青阳县城东部产业新区、青阳经开区三大辅园之一、镁基新材料及机电装备制造为主导的产业集群强镇。成片开发方案的编制实施可以改善地区产业结构、提升综合竞争力、促进地方发展、增加就业机会，开创“镁基小镇、水乡新河”高质量发展新局面。</w:t>
      </w:r>
    </w:p>
    <w:p w14:paraId="4830CD29">
      <w:pPr>
        <w:ind w:firstLine="560"/>
        <w:rPr>
          <w:rFonts w:ascii="Times New Roman" w:hAnsi="Times New Roman"/>
        </w:rPr>
      </w:pPr>
      <w:r>
        <w:rPr>
          <w:rFonts w:ascii="Times New Roman" w:hAnsi="Times New Roman"/>
        </w:rPr>
        <w:t>（2）在实施国土空间规划方面</w:t>
      </w:r>
    </w:p>
    <w:p w14:paraId="0F375E4F">
      <w:pPr>
        <w:ind w:firstLine="560"/>
        <w:rPr>
          <w:rFonts w:ascii="Times New Roman" w:hAnsi="Times New Roman"/>
        </w:rPr>
      </w:pPr>
      <w:r>
        <w:rPr>
          <w:rFonts w:ascii="Times New Roman" w:hAnsi="Times New Roman"/>
        </w:rPr>
        <w:t>《青阳县国土空间总体规划（2021-2035年）》提出木镇新河园依托镁基新材料产业，布局镁基合金精深加工项目，集约化发展轻量化镁合金、高性能低成本镁合金等精深加工项目，集聚发展以关键配件、精密零件为基础的产业集群，与东河园区高端装备产业形成配套支撑，推动高端制造与绿色再制造的协同发展，树立智能制造示范、标杆工厂。本方案的实施能够有效贯彻落实青阳县国土空间总体规划中提出的“一核两区多点”城镇空间格局，优化安徽青阳经济开发区“一区三园”布局。落实规划中确定的地块性质及使用强度等各项指标，并通过合理安排用地规模、结构和布局，优化土地利用空间格局，因地制宜配置基础设施、公共配套设施用地，提高现有用地使用效益。</w:t>
      </w:r>
    </w:p>
    <w:p w14:paraId="5EDE8BF7">
      <w:pPr>
        <w:ind w:firstLine="560"/>
        <w:rPr>
          <w:rFonts w:ascii="Times New Roman" w:hAnsi="Times New Roman"/>
        </w:rPr>
      </w:pPr>
      <w:r>
        <w:rPr>
          <w:rFonts w:ascii="Times New Roman" w:hAnsi="Times New Roman"/>
        </w:rPr>
        <w:t>（3）在满足城镇开发需求方面</w:t>
      </w:r>
    </w:p>
    <w:p w14:paraId="25ED5C36">
      <w:pPr>
        <w:ind w:firstLine="560"/>
        <w:rPr>
          <w:rFonts w:ascii="Times New Roman" w:hAnsi="Times New Roman"/>
        </w:rPr>
      </w:pPr>
      <w:r>
        <w:rPr>
          <w:rFonts w:ascii="Times New Roman" w:hAnsi="Times New Roman"/>
        </w:rPr>
        <w:t>本片区建设时间较长，长时间的发展导致片区范围内的建设用地已经无法满足新进企业的用地需求，需要通过成片开发，保障后期入驻企业的用地需求；另一方面，片区内原本基础设施、公共服务设施已经不能满足发展的需求，需要提升改进相关基础设施和公共服务设施。同时通过成片开发把片区内零星用地以及利用效率较低的土地统一规划、统一开发，激活存量土地，提高了土地资源的配置效率和节约集约利用水平。</w:t>
      </w:r>
    </w:p>
    <w:p w14:paraId="1FE616EB">
      <w:pPr>
        <w:ind w:firstLine="560"/>
        <w:rPr>
          <w:rFonts w:ascii="Times New Roman" w:hAnsi="Times New Roman"/>
        </w:rPr>
      </w:pPr>
      <w:r>
        <w:rPr>
          <w:rFonts w:ascii="Times New Roman" w:hAnsi="Times New Roman"/>
        </w:rPr>
        <w:t>（4）在实现规划所确定的主要城镇功能方面</w:t>
      </w:r>
    </w:p>
    <w:p w14:paraId="70C49ABE">
      <w:pPr>
        <w:ind w:firstLine="560"/>
        <w:rPr>
          <w:rFonts w:ascii="Times New Roman" w:hAnsi="Times New Roman"/>
          <w:highlight w:val="yellow"/>
        </w:rPr>
      </w:pPr>
      <w:r>
        <w:rPr>
          <w:rFonts w:ascii="Times New Roman" w:hAnsi="Times New Roman"/>
        </w:rPr>
        <w:t>随着新河镇建设和招商引资力度的加大，工业企业入驻将增加地方劳动就业岗位、减少劳动人口外流，同时片区的发展能够带动周边第三产业发展，也能增加国民生产总值和地方财政税收。工业企业的入驻需要有足够的土地载体，迫切要求编制片区成片开发方案，以规范推进片区建设。</w:t>
      </w:r>
    </w:p>
    <w:p w14:paraId="525D6D83">
      <w:pPr>
        <w:pStyle w:val="3"/>
        <w:keepNext w:val="0"/>
        <w:ind w:firstLine="560"/>
        <w:rPr>
          <w:rFonts w:ascii="Times New Roman" w:hAnsi="Times New Roman"/>
        </w:rPr>
      </w:pPr>
      <w:bookmarkStart w:id="12" w:name="_Toc207347466"/>
      <w:r>
        <w:rPr>
          <w:rFonts w:ascii="Times New Roman" w:hAnsi="Times New Roman"/>
        </w:rPr>
        <w:t>主要用途</w:t>
      </w:r>
      <w:bookmarkEnd w:id="12"/>
    </w:p>
    <w:p w14:paraId="2EC817B7">
      <w:pPr>
        <w:pStyle w:val="5"/>
        <w:ind w:firstLine="0" w:firstLineChars="0"/>
        <w:jc w:val="center"/>
        <w:rPr>
          <w:rFonts w:ascii="Times New Roman" w:hAnsi="Times New Roman"/>
          <w:bCs/>
          <w:sz w:val="24"/>
          <w:szCs w:val="24"/>
        </w:rPr>
      </w:pPr>
      <w:r>
        <w:rPr>
          <w:rFonts w:ascii="Times New Roman" w:hAnsi="Times New Roman"/>
          <w:bCs/>
          <w:sz w:val="24"/>
          <w:szCs w:val="24"/>
        </w:rPr>
        <w:t xml:space="preserve">表 </w:t>
      </w:r>
      <w:r>
        <w:rPr>
          <w:rFonts w:ascii="Times New Roman" w:hAnsi="Times New Roman"/>
          <w:bCs/>
          <w:sz w:val="24"/>
          <w:szCs w:val="24"/>
        </w:rPr>
        <w:fldChar w:fldCharType="begin"/>
      </w:r>
      <w:r>
        <w:rPr>
          <w:rFonts w:ascii="Times New Roman" w:hAnsi="Times New Roman"/>
          <w:bCs/>
          <w:sz w:val="24"/>
          <w:szCs w:val="24"/>
        </w:rPr>
        <w:instrText xml:space="preserve"> SEQ 表 \* ARABIC </w:instrText>
      </w:r>
      <w:r>
        <w:rPr>
          <w:rFonts w:ascii="Times New Roman" w:hAnsi="Times New Roman"/>
          <w:bCs/>
          <w:sz w:val="24"/>
          <w:szCs w:val="24"/>
        </w:rPr>
        <w:fldChar w:fldCharType="separate"/>
      </w:r>
      <w:r>
        <w:rPr>
          <w:rFonts w:ascii="Times New Roman" w:hAnsi="Times New Roman"/>
          <w:bCs/>
          <w:sz w:val="24"/>
          <w:szCs w:val="24"/>
        </w:rPr>
        <w:t>1</w:t>
      </w:r>
      <w:r>
        <w:rPr>
          <w:rFonts w:ascii="Times New Roman" w:hAnsi="Times New Roman"/>
          <w:bCs/>
          <w:sz w:val="24"/>
          <w:szCs w:val="24"/>
        </w:rPr>
        <w:fldChar w:fldCharType="end"/>
      </w:r>
      <w:r>
        <w:rPr>
          <w:rFonts w:ascii="Times New Roman" w:hAnsi="Times New Roman"/>
          <w:bCs/>
          <w:sz w:val="24"/>
          <w:szCs w:val="24"/>
        </w:rPr>
        <w:t xml:space="preserve"> 规划主要用途统计表</w:t>
      </w:r>
    </w:p>
    <w:tbl>
      <w:tblPr>
        <w:tblStyle w:val="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535"/>
        <w:gridCol w:w="2729"/>
        <w:gridCol w:w="2258"/>
      </w:tblGrid>
      <w:tr w14:paraId="53B76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center"/>
          </w:tcPr>
          <w:p w14:paraId="28FD2284">
            <w:pPr>
              <w:adjustRightInd w:val="0"/>
              <w:snapToGrid w:val="0"/>
              <w:spacing w:line="240" w:lineRule="auto"/>
              <w:ind w:firstLine="0" w:firstLineChars="0"/>
              <w:jc w:val="center"/>
              <w:rPr>
                <w:rFonts w:ascii="Times New Roman" w:hAnsi="Times New Roman"/>
                <w:b/>
              </w:rPr>
            </w:pPr>
            <w:r>
              <w:rPr>
                <w:rFonts w:ascii="Times New Roman" w:hAnsi="Times New Roman"/>
                <w:b/>
              </w:rPr>
              <w:t>规划用途</w:t>
            </w:r>
          </w:p>
        </w:tc>
        <w:tc>
          <w:tcPr>
            <w:tcW w:w="1601" w:type="pct"/>
            <w:noWrap/>
            <w:vAlign w:val="center"/>
          </w:tcPr>
          <w:p w14:paraId="4C848E3F">
            <w:pPr>
              <w:adjustRightInd w:val="0"/>
              <w:snapToGrid w:val="0"/>
              <w:spacing w:line="240" w:lineRule="auto"/>
              <w:ind w:firstLine="0" w:firstLineChars="0"/>
              <w:jc w:val="center"/>
              <w:rPr>
                <w:rFonts w:ascii="Times New Roman" w:hAnsi="Times New Roman"/>
                <w:b/>
              </w:rPr>
            </w:pPr>
            <w:r>
              <w:rPr>
                <w:rFonts w:ascii="Times New Roman" w:hAnsi="Times New Roman"/>
                <w:b/>
              </w:rPr>
              <w:t>面积（公顷）</w:t>
            </w:r>
          </w:p>
        </w:tc>
        <w:tc>
          <w:tcPr>
            <w:tcW w:w="1325" w:type="pct"/>
            <w:noWrap/>
            <w:vAlign w:val="center"/>
          </w:tcPr>
          <w:p w14:paraId="0860DD47">
            <w:pPr>
              <w:adjustRightInd w:val="0"/>
              <w:snapToGrid w:val="0"/>
              <w:spacing w:line="240" w:lineRule="auto"/>
              <w:ind w:firstLine="0" w:firstLineChars="0"/>
              <w:jc w:val="center"/>
              <w:rPr>
                <w:rFonts w:ascii="Times New Roman" w:hAnsi="Times New Roman"/>
                <w:b/>
              </w:rPr>
            </w:pPr>
            <w:r>
              <w:rPr>
                <w:rFonts w:ascii="Times New Roman" w:hAnsi="Times New Roman"/>
                <w:b/>
              </w:rPr>
              <w:t>占比（%）</w:t>
            </w:r>
          </w:p>
        </w:tc>
      </w:tr>
      <w:tr w14:paraId="45BAC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1ADB9B82">
            <w:pPr>
              <w:adjustRightInd w:val="0"/>
              <w:snapToGrid w:val="0"/>
              <w:spacing w:line="240" w:lineRule="auto"/>
              <w:ind w:firstLine="0" w:firstLineChars="0"/>
              <w:jc w:val="center"/>
              <w:rPr>
                <w:rFonts w:ascii="Times New Roman" w:hAnsi="Times New Roman"/>
              </w:rPr>
            </w:pPr>
            <w:r>
              <w:rPr>
                <w:rFonts w:ascii="Times New Roman" w:hAnsi="Times New Roman"/>
              </w:rPr>
              <w:t>城镇村道路用地</w:t>
            </w:r>
          </w:p>
        </w:tc>
        <w:tc>
          <w:tcPr>
            <w:tcW w:w="1601" w:type="pct"/>
            <w:noWrap/>
            <w:vAlign w:val="bottom"/>
          </w:tcPr>
          <w:p w14:paraId="12698045">
            <w:pPr>
              <w:adjustRightInd w:val="0"/>
              <w:snapToGrid w:val="0"/>
              <w:spacing w:line="240" w:lineRule="auto"/>
              <w:ind w:firstLine="0" w:firstLineChars="0"/>
              <w:jc w:val="center"/>
              <w:rPr>
                <w:rFonts w:ascii="Times New Roman" w:hAnsi="Times New Roman"/>
              </w:rPr>
            </w:pPr>
            <w:r>
              <w:rPr>
                <w:rFonts w:ascii="Times New Roman" w:hAnsi="Times New Roman"/>
              </w:rPr>
              <w:t>6.6002</w:t>
            </w:r>
          </w:p>
        </w:tc>
        <w:tc>
          <w:tcPr>
            <w:tcW w:w="1325" w:type="pct"/>
            <w:noWrap/>
            <w:vAlign w:val="bottom"/>
          </w:tcPr>
          <w:p w14:paraId="00200EC7">
            <w:pPr>
              <w:adjustRightInd w:val="0"/>
              <w:snapToGrid w:val="0"/>
              <w:spacing w:line="240" w:lineRule="auto"/>
              <w:ind w:firstLine="0" w:firstLineChars="0"/>
              <w:jc w:val="center"/>
              <w:rPr>
                <w:rFonts w:ascii="Times New Roman" w:hAnsi="Times New Roman"/>
              </w:rPr>
            </w:pPr>
            <w:r>
              <w:rPr>
                <w:rFonts w:ascii="Times New Roman" w:hAnsi="Times New Roman"/>
              </w:rPr>
              <w:t>7.21</w:t>
            </w:r>
          </w:p>
        </w:tc>
      </w:tr>
      <w:tr w14:paraId="5681A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5483887D">
            <w:pPr>
              <w:adjustRightInd w:val="0"/>
              <w:snapToGrid w:val="0"/>
              <w:spacing w:line="240" w:lineRule="auto"/>
              <w:ind w:firstLine="0" w:firstLineChars="0"/>
              <w:jc w:val="center"/>
              <w:rPr>
                <w:rFonts w:ascii="Times New Roman" w:hAnsi="Times New Roman"/>
              </w:rPr>
            </w:pPr>
            <w:r>
              <w:rPr>
                <w:rFonts w:ascii="Times New Roman" w:hAnsi="Times New Roman"/>
              </w:rPr>
              <w:t>城镇住宅用地</w:t>
            </w:r>
          </w:p>
        </w:tc>
        <w:tc>
          <w:tcPr>
            <w:tcW w:w="1601" w:type="pct"/>
            <w:noWrap/>
            <w:vAlign w:val="bottom"/>
          </w:tcPr>
          <w:p w14:paraId="6E94DA99">
            <w:pPr>
              <w:adjustRightInd w:val="0"/>
              <w:snapToGrid w:val="0"/>
              <w:spacing w:line="240" w:lineRule="auto"/>
              <w:ind w:firstLine="0" w:firstLineChars="0"/>
              <w:jc w:val="center"/>
              <w:rPr>
                <w:rFonts w:ascii="Times New Roman" w:hAnsi="Times New Roman"/>
              </w:rPr>
            </w:pPr>
            <w:r>
              <w:rPr>
                <w:rFonts w:ascii="Times New Roman" w:hAnsi="Times New Roman"/>
              </w:rPr>
              <w:t>6.5780</w:t>
            </w:r>
          </w:p>
        </w:tc>
        <w:tc>
          <w:tcPr>
            <w:tcW w:w="1325" w:type="pct"/>
            <w:noWrap/>
            <w:vAlign w:val="bottom"/>
          </w:tcPr>
          <w:p w14:paraId="4024809F">
            <w:pPr>
              <w:adjustRightInd w:val="0"/>
              <w:snapToGrid w:val="0"/>
              <w:spacing w:line="240" w:lineRule="auto"/>
              <w:ind w:firstLine="0" w:firstLineChars="0"/>
              <w:jc w:val="center"/>
              <w:rPr>
                <w:rFonts w:ascii="Times New Roman" w:hAnsi="Times New Roman"/>
              </w:rPr>
            </w:pPr>
            <w:r>
              <w:rPr>
                <w:rFonts w:ascii="Times New Roman" w:hAnsi="Times New Roman"/>
              </w:rPr>
              <w:t>7.18</w:t>
            </w:r>
          </w:p>
        </w:tc>
      </w:tr>
      <w:tr w14:paraId="748F9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74DA79FD">
            <w:pPr>
              <w:adjustRightInd w:val="0"/>
              <w:snapToGrid w:val="0"/>
              <w:spacing w:line="240" w:lineRule="auto"/>
              <w:ind w:firstLine="0" w:firstLineChars="0"/>
              <w:jc w:val="center"/>
              <w:rPr>
                <w:rFonts w:ascii="Times New Roman" w:hAnsi="Times New Roman"/>
              </w:rPr>
            </w:pPr>
            <w:r>
              <w:rPr>
                <w:rFonts w:ascii="Times New Roman" w:hAnsi="Times New Roman"/>
              </w:rPr>
              <w:t>防护绿地</w:t>
            </w:r>
          </w:p>
        </w:tc>
        <w:tc>
          <w:tcPr>
            <w:tcW w:w="1601" w:type="pct"/>
            <w:noWrap/>
            <w:vAlign w:val="bottom"/>
          </w:tcPr>
          <w:p w14:paraId="4887D734">
            <w:pPr>
              <w:adjustRightInd w:val="0"/>
              <w:snapToGrid w:val="0"/>
              <w:spacing w:line="240" w:lineRule="auto"/>
              <w:ind w:firstLine="0" w:firstLineChars="0"/>
              <w:jc w:val="center"/>
              <w:rPr>
                <w:rFonts w:ascii="Times New Roman" w:hAnsi="Times New Roman"/>
              </w:rPr>
            </w:pPr>
            <w:r>
              <w:rPr>
                <w:rFonts w:ascii="Times New Roman" w:hAnsi="Times New Roman"/>
              </w:rPr>
              <w:t>16.7254</w:t>
            </w:r>
          </w:p>
        </w:tc>
        <w:tc>
          <w:tcPr>
            <w:tcW w:w="1325" w:type="pct"/>
            <w:noWrap/>
            <w:vAlign w:val="bottom"/>
          </w:tcPr>
          <w:p w14:paraId="3B86AB72">
            <w:pPr>
              <w:adjustRightInd w:val="0"/>
              <w:snapToGrid w:val="0"/>
              <w:spacing w:line="240" w:lineRule="auto"/>
              <w:ind w:firstLine="0" w:firstLineChars="0"/>
              <w:jc w:val="center"/>
              <w:rPr>
                <w:rFonts w:ascii="Times New Roman" w:hAnsi="Times New Roman"/>
              </w:rPr>
            </w:pPr>
            <w:r>
              <w:rPr>
                <w:rFonts w:ascii="Times New Roman" w:hAnsi="Times New Roman"/>
              </w:rPr>
              <w:t>18.26</w:t>
            </w:r>
          </w:p>
        </w:tc>
      </w:tr>
      <w:tr w14:paraId="7DBC2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6136ABE4">
            <w:pPr>
              <w:adjustRightInd w:val="0"/>
              <w:snapToGrid w:val="0"/>
              <w:spacing w:line="240" w:lineRule="auto"/>
              <w:ind w:firstLine="0" w:firstLineChars="0"/>
              <w:jc w:val="center"/>
              <w:rPr>
                <w:rFonts w:ascii="Times New Roman" w:hAnsi="Times New Roman"/>
              </w:rPr>
            </w:pPr>
            <w:r>
              <w:rPr>
                <w:rFonts w:ascii="Times New Roman" w:hAnsi="Times New Roman"/>
              </w:rPr>
              <w:t>工业用地</w:t>
            </w:r>
          </w:p>
        </w:tc>
        <w:tc>
          <w:tcPr>
            <w:tcW w:w="1601" w:type="pct"/>
            <w:noWrap/>
            <w:vAlign w:val="bottom"/>
          </w:tcPr>
          <w:p w14:paraId="2632263C">
            <w:pPr>
              <w:adjustRightInd w:val="0"/>
              <w:snapToGrid w:val="0"/>
              <w:spacing w:line="240" w:lineRule="auto"/>
              <w:ind w:firstLine="0" w:firstLineChars="0"/>
              <w:jc w:val="center"/>
              <w:rPr>
                <w:rFonts w:ascii="Times New Roman" w:hAnsi="Times New Roman"/>
              </w:rPr>
            </w:pPr>
            <w:r>
              <w:rPr>
                <w:rFonts w:ascii="Times New Roman" w:hAnsi="Times New Roman"/>
              </w:rPr>
              <w:t>50.7037</w:t>
            </w:r>
          </w:p>
        </w:tc>
        <w:tc>
          <w:tcPr>
            <w:tcW w:w="1325" w:type="pct"/>
            <w:noWrap/>
            <w:vAlign w:val="bottom"/>
          </w:tcPr>
          <w:p w14:paraId="314985AF">
            <w:pPr>
              <w:adjustRightInd w:val="0"/>
              <w:snapToGrid w:val="0"/>
              <w:spacing w:line="240" w:lineRule="auto"/>
              <w:ind w:firstLine="0" w:firstLineChars="0"/>
              <w:jc w:val="center"/>
              <w:rPr>
                <w:rFonts w:ascii="Times New Roman" w:hAnsi="Times New Roman"/>
              </w:rPr>
            </w:pPr>
            <w:r>
              <w:rPr>
                <w:rFonts w:ascii="Times New Roman" w:hAnsi="Times New Roman"/>
              </w:rPr>
              <w:t>55.37</w:t>
            </w:r>
          </w:p>
        </w:tc>
      </w:tr>
      <w:tr w14:paraId="5FB73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0A33BE4B">
            <w:pPr>
              <w:adjustRightInd w:val="0"/>
              <w:snapToGrid w:val="0"/>
              <w:spacing w:line="240" w:lineRule="auto"/>
              <w:ind w:firstLine="0" w:firstLineChars="0"/>
              <w:jc w:val="center"/>
              <w:rPr>
                <w:rFonts w:ascii="Times New Roman" w:hAnsi="Times New Roman"/>
              </w:rPr>
            </w:pPr>
            <w:r>
              <w:rPr>
                <w:rFonts w:ascii="Times New Roman" w:hAnsi="Times New Roman"/>
              </w:rPr>
              <w:t>公路用地</w:t>
            </w:r>
          </w:p>
        </w:tc>
        <w:tc>
          <w:tcPr>
            <w:tcW w:w="1601" w:type="pct"/>
            <w:noWrap/>
            <w:vAlign w:val="bottom"/>
          </w:tcPr>
          <w:p w14:paraId="4705D9E2">
            <w:pPr>
              <w:adjustRightInd w:val="0"/>
              <w:snapToGrid w:val="0"/>
              <w:spacing w:line="240" w:lineRule="auto"/>
              <w:ind w:firstLine="0" w:firstLineChars="0"/>
              <w:jc w:val="center"/>
              <w:rPr>
                <w:rFonts w:ascii="Times New Roman" w:hAnsi="Times New Roman"/>
              </w:rPr>
            </w:pPr>
            <w:r>
              <w:rPr>
                <w:rFonts w:ascii="Times New Roman" w:hAnsi="Times New Roman"/>
              </w:rPr>
              <w:t>2.8083</w:t>
            </w:r>
          </w:p>
        </w:tc>
        <w:tc>
          <w:tcPr>
            <w:tcW w:w="1325" w:type="pct"/>
            <w:noWrap/>
            <w:vAlign w:val="bottom"/>
          </w:tcPr>
          <w:p w14:paraId="37B5CC71">
            <w:pPr>
              <w:adjustRightInd w:val="0"/>
              <w:snapToGrid w:val="0"/>
              <w:spacing w:line="240" w:lineRule="auto"/>
              <w:ind w:firstLine="0" w:firstLineChars="0"/>
              <w:jc w:val="center"/>
              <w:rPr>
                <w:rFonts w:ascii="Times New Roman" w:hAnsi="Times New Roman"/>
              </w:rPr>
            </w:pPr>
            <w:r>
              <w:rPr>
                <w:rFonts w:ascii="Times New Roman" w:hAnsi="Times New Roman"/>
              </w:rPr>
              <w:t>3.07</w:t>
            </w:r>
          </w:p>
        </w:tc>
      </w:tr>
      <w:tr w14:paraId="53A5A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1AA88E34">
            <w:pPr>
              <w:adjustRightInd w:val="0"/>
              <w:snapToGrid w:val="0"/>
              <w:spacing w:line="240" w:lineRule="auto"/>
              <w:ind w:firstLine="0" w:firstLineChars="0"/>
              <w:jc w:val="center"/>
              <w:rPr>
                <w:rFonts w:ascii="Times New Roman" w:hAnsi="Times New Roman"/>
              </w:rPr>
            </w:pPr>
            <w:r>
              <w:rPr>
                <w:rFonts w:ascii="Times New Roman" w:hAnsi="Times New Roman"/>
              </w:rPr>
              <w:t>供电用地</w:t>
            </w:r>
          </w:p>
        </w:tc>
        <w:tc>
          <w:tcPr>
            <w:tcW w:w="1601" w:type="pct"/>
            <w:noWrap/>
            <w:vAlign w:val="bottom"/>
          </w:tcPr>
          <w:p w14:paraId="28887AB2">
            <w:pPr>
              <w:adjustRightInd w:val="0"/>
              <w:snapToGrid w:val="0"/>
              <w:spacing w:line="240" w:lineRule="auto"/>
              <w:ind w:firstLine="0" w:firstLineChars="0"/>
              <w:jc w:val="center"/>
              <w:rPr>
                <w:rFonts w:ascii="Times New Roman" w:hAnsi="Times New Roman"/>
              </w:rPr>
            </w:pPr>
            <w:r>
              <w:rPr>
                <w:rFonts w:ascii="Times New Roman" w:hAnsi="Times New Roman"/>
              </w:rPr>
              <w:t>0.4344</w:t>
            </w:r>
          </w:p>
        </w:tc>
        <w:tc>
          <w:tcPr>
            <w:tcW w:w="1325" w:type="pct"/>
            <w:noWrap/>
            <w:vAlign w:val="bottom"/>
          </w:tcPr>
          <w:p w14:paraId="2D3B848A">
            <w:pPr>
              <w:adjustRightInd w:val="0"/>
              <w:snapToGrid w:val="0"/>
              <w:spacing w:line="240" w:lineRule="auto"/>
              <w:ind w:firstLine="0" w:firstLineChars="0"/>
              <w:jc w:val="center"/>
              <w:rPr>
                <w:rFonts w:ascii="Times New Roman" w:hAnsi="Times New Roman"/>
              </w:rPr>
            </w:pPr>
            <w:r>
              <w:rPr>
                <w:rFonts w:ascii="Times New Roman" w:hAnsi="Times New Roman"/>
              </w:rPr>
              <w:t>0.47</w:t>
            </w:r>
          </w:p>
        </w:tc>
      </w:tr>
      <w:tr w14:paraId="48CF1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0D11F7EA">
            <w:pPr>
              <w:adjustRightInd w:val="0"/>
              <w:snapToGrid w:val="0"/>
              <w:spacing w:line="240" w:lineRule="auto"/>
              <w:ind w:firstLine="0" w:firstLineChars="0"/>
              <w:jc w:val="center"/>
              <w:rPr>
                <w:rFonts w:ascii="Times New Roman" w:hAnsi="Times New Roman"/>
              </w:rPr>
            </w:pPr>
            <w:r>
              <w:rPr>
                <w:rFonts w:ascii="Times New Roman" w:hAnsi="Times New Roman"/>
              </w:rPr>
              <w:t>供水用地</w:t>
            </w:r>
          </w:p>
        </w:tc>
        <w:tc>
          <w:tcPr>
            <w:tcW w:w="1601" w:type="pct"/>
            <w:noWrap/>
            <w:vAlign w:val="bottom"/>
          </w:tcPr>
          <w:p w14:paraId="116B3B80">
            <w:pPr>
              <w:adjustRightInd w:val="0"/>
              <w:snapToGrid w:val="0"/>
              <w:spacing w:line="240" w:lineRule="auto"/>
              <w:ind w:firstLine="0" w:firstLineChars="0"/>
              <w:jc w:val="center"/>
              <w:rPr>
                <w:rFonts w:ascii="Times New Roman" w:hAnsi="Times New Roman"/>
              </w:rPr>
            </w:pPr>
            <w:r>
              <w:rPr>
                <w:rFonts w:ascii="Times New Roman" w:hAnsi="Times New Roman"/>
              </w:rPr>
              <w:t>0.0962</w:t>
            </w:r>
          </w:p>
        </w:tc>
        <w:tc>
          <w:tcPr>
            <w:tcW w:w="1325" w:type="pct"/>
            <w:noWrap/>
            <w:vAlign w:val="bottom"/>
          </w:tcPr>
          <w:p w14:paraId="371D98AD">
            <w:pPr>
              <w:adjustRightInd w:val="0"/>
              <w:snapToGrid w:val="0"/>
              <w:spacing w:line="240" w:lineRule="auto"/>
              <w:ind w:firstLine="0" w:firstLineChars="0"/>
              <w:jc w:val="center"/>
              <w:rPr>
                <w:rFonts w:ascii="Times New Roman" w:hAnsi="Times New Roman"/>
              </w:rPr>
            </w:pPr>
            <w:r>
              <w:rPr>
                <w:rFonts w:ascii="Times New Roman" w:hAnsi="Times New Roman"/>
              </w:rPr>
              <w:t>0.11</w:t>
            </w:r>
          </w:p>
        </w:tc>
      </w:tr>
      <w:tr w14:paraId="20C21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7F061232">
            <w:pPr>
              <w:adjustRightInd w:val="0"/>
              <w:snapToGrid w:val="0"/>
              <w:spacing w:line="240" w:lineRule="auto"/>
              <w:ind w:firstLine="0" w:firstLineChars="0"/>
              <w:jc w:val="center"/>
              <w:rPr>
                <w:rFonts w:ascii="Times New Roman" w:hAnsi="Times New Roman"/>
              </w:rPr>
            </w:pPr>
            <w:r>
              <w:rPr>
                <w:rFonts w:ascii="Times New Roman" w:hAnsi="Times New Roman"/>
              </w:rPr>
              <w:t>环卫用地</w:t>
            </w:r>
          </w:p>
        </w:tc>
        <w:tc>
          <w:tcPr>
            <w:tcW w:w="1601" w:type="pct"/>
            <w:noWrap/>
            <w:vAlign w:val="bottom"/>
          </w:tcPr>
          <w:p w14:paraId="0C620394">
            <w:pPr>
              <w:adjustRightInd w:val="0"/>
              <w:snapToGrid w:val="0"/>
              <w:spacing w:line="240" w:lineRule="auto"/>
              <w:ind w:firstLine="0" w:firstLineChars="0"/>
              <w:jc w:val="center"/>
              <w:rPr>
                <w:rFonts w:ascii="Times New Roman" w:hAnsi="Times New Roman"/>
              </w:rPr>
            </w:pPr>
            <w:r>
              <w:rPr>
                <w:rFonts w:ascii="Times New Roman" w:hAnsi="Times New Roman"/>
              </w:rPr>
              <w:t>0.2276</w:t>
            </w:r>
          </w:p>
        </w:tc>
        <w:tc>
          <w:tcPr>
            <w:tcW w:w="1325" w:type="pct"/>
            <w:noWrap/>
            <w:vAlign w:val="bottom"/>
          </w:tcPr>
          <w:p w14:paraId="6B204449">
            <w:pPr>
              <w:adjustRightInd w:val="0"/>
              <w:snapToGrid w:val="0"/>
              <w:spacing w:line="240" w:lineRule="auto"/>
              <w:ind w:firstLine="0" w:firstLineChars="0"/>
              <w:jc w:val="center"/>
              <w:rPr>
                <w:rFonts w:ascii="Times New Roman" w:hAnsi="Times New Roman"/>
              </w:rPr>
            </w:pPr>
            <w:r>
              <w:rPr>
                <w:rFonts w:ascii="Times New Roman" w:hAnsi="Times New Roman"/>
              </w:rPr>
              <w:t>0.25</w:t>
            </w:r>
          </w:p>
        </w:tc>
      </w:tr>
      <w:tr w14:paraId="1FB87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45E58F5B">
            <w:pPr>
              <w:adjustRightInd w:val="0"/>
              <w:snapToGrid w:val="0"/>
              <w:spacing w:line="240" w:lineRule="auto"/>
              <w:ind w:firstLine="0" w:firstLineChars="0"/>
              <w:jc w:val="center"/>
              <w:rPr>
                <w:rFonts w:ascii="Times New Roman" w:hAnsi="Times New Roman"/>
              </w:rPr>
            </w:pPr>
            <w:r>
              <w:rPr>
                <w:rFonts w:ascii="Times New Roman" w:hAnsi="Times New Roman"/>
              </w:rPr>
              <w:t>机关团体用地</w:t>
            </w:r>
          </w:p>
        </w:tc>
        <w:tc>
          <w:tcPr>
            <w:tcW w:w="1601" w:type="pct"/>
            <w:noWrap/>
            <w:vAlign w:val="bottom"/>
          </w:tcPr>
          <w:p w14:paraId="4D172285">
            <w:pPr>
              <w:adjustRightInd w:val="0"/>
              <w:snapToGrid w:val="0"/>
              <w:spacing w:line="240" w:lineRule="auto"/>
              <w:ind w:firstLine="0" w:firstLineChars="0"/>
              <w:jc w:val="center"/>
              <w:rPr>
                <w:rFonts w:ascii="Times New Roman" w:hAnsi="Times New Roman"/>
              </w:rPr>
            </w:pPr>
            <w:r>
              <w:rPr>
                <w:rFonts w:ascii="Times New Roman" w:hAnsi="Times New Roman"/>
              </w:rPr>
              <w:t>3.0581</w:t>
            </w:r>
          </w:p>
        </w:tc>
        <w:tc>
          <w:tcPr>
            <w:tcW w:w="1325" w:type="pct"/>
            <w:noWrap/>
            <w:vAlign w:val="bottom"/>
          </w:tcPr>
          <w:p w14:paraId="427534E9">
            <w:pPr>
              <w:adjustRightInd w:val="0"/>
              <w:snapToGrid w:val="0"/>
              <w:spacing w:line="240" w:lineRule="auto"/>
              <w:ind w:firstLine="0" w:firstLineChars="0"/>
              <w:jc w:val="center"/>
              <w:rPr>
                <w:rFonts w:ascii="Times New Roman" w:hAnsi="Times New Roman"/>
              </w:rPr>
            </w:pPr>
            <w:r>
              <w:rPr>
                <w:rFonts w:ascii="Times New Roman" w:hAnsi="Times New Roman"/>
              </w:rPr>
              <w:t>3.34</w:t>
            </w:r>
          </w:p>
        </w:tc>
      </w:tr>
      <w:tr w14:paraId="77A63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419CAEBB">
            <w:pPr>
              <w:adjustRightInd w:val="0"/>
              <w:snapToGrid w:val="0"/>
              <w:spacing w:line="240" w:lineRule="auto"/>
              <w:ind w:firstLine="0" w:firstLineChars="0"/>
              <w:jc w:val="center"/>
              <w:rPr>
                <w:rFonts w:ascii="Times New Roman" w:hAnsi="Times New Roman"/>
              </w:rPr>
            </w:pPr>
            <w:r>
              <w:rPr>
                <w:rFonts w:ascii="Times New Roman" w:hAnsi="Times New Roman"/>
              </w:rPr>
              <w:t>交通场站用地</w:t>
            </w:r>
          </w:p>
        </w:tc>
        <w:tc>
          <w:tcPr>
            <w:tcW w:w="1601" w:type="pct"/>
            <w:noWrap/>
            <w:vAlign w:val="bottom"/>
          </w:tcPr>
          <w:p w14:paraId="7E0A6588">
            <w:pPr>
              <w:adjustRightInd w:val="0"/>
              <w:snapToGrid w:val="0"/>
              <w:spacing w:line="240" w:lineRule="auto"/>
              <w:ind w:firstLine="0" w:firstLineChars="0"/>
              <w:jc w:val="center"/>
              <w:rPr>
                <w:rFonts w:ascii="Times New Roman" w:hAnsi="Times New Roman"/>
              </w:rPr>
            </w:pPr>
            <w:r>
              <w:rPr>
                <w:rFonts w:ascii="Times New Roman" w:hAnsi="Times New Roman"/>
              </w:rPr>
              <w:t>0.3384</w:t>
            </w:r>
          </w:p>
        </w:tc>
        <w:tc>
          <w:tcPr>
            <w:tcW w:w="1325" w:type="pct"/>
            <w:noWrap/>
            <w:vAlign w:val="bottom"/>
          </w:tcPr>
          <w:p w14:paraId="1C6E2B13">
            <w:pPr>
              <w:adjustRightInd w:val="0"/>
              <w:snapToGrid w:val="0"/>
              <w:spacing w:line="240" w:lineRule="auto"/>
              <w:ind w:firstLine="0" w:firstLineChars="0"/>
              <w:jc w:val="center"/>
              <w:rPr>
                <w:rFonts w:ascii="Times New Roman" w:hAnsi="Times New Roman"/>
              </w:rPr>
            </w:pPr>
            <w:r>
              <w:rPr>
                <w:rFonts w:ascii="Times New Roman" w:hAnsi="Times New Roman"/>
              </w:rPr>
              <w:t>0.37</w:t>
            </w:r>
          </w:p>
        </w:tc>
      </w:tr>
      <w:tr w14:paraId="1713D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401B828D">
            <w:pPr>
              <w:adjustRightInd w:val="0"/>
              <w:snapToGrid w:val="0"/>
              <w:spacing w:line="240" w:lineRule="auto"/>
              <w:ind w:firstLine="0" w:firstLineChars="0"/>
              <w:jc w:val="center"/>
              <w:rPr>
                <w:rFonts w:ascii="Times New Roman" w:hAnsi="Times New Roman"/>
              </w:rPr>
            </w:pPr>
            <w:r>
              <w:rPr>
                <w:rFonts w:ascii="Times New Roman" w:hAnsi="Times New Roman"/>
              </w:rPr>
              <w:t>教育用地</w:t>
            </w:r>
          </w:p>
        </w:tc>
        <w:tc>
          <w:tcPr>
            <w:tcW w:w="1601" w:type="pct"/>
            <w:noWrap/>
            <w:vAlign w:val="bottom"/>
          </w:tcPr>
          <w:p w14:paraId="76128C2B">
            <w:pPr>
              <w:adjustRightInd w:val="0"/>
              <w:snapToGrid w:val="0"/>
              <w:spacing w:line="240" w:lineRule="auto"/>
              <w:ind w:firstLine="0" w:firstLineChars="0"/>
              <w:jc w:val="center"/>
              <w:rPr>
                <w:rFonts w:ascii="Times New Roman" w:hAnsi="Times New Roman"/>
              </w:rPr>
            </w:pPr>
            <w:r>
              <w:rPr>
                <w:rFonts w:ascii="Times New Roman" w:hAnsi="Times New Roman"/>
              </w:rPr>
              <w:t>2.1366</w:t>
            </w:r>
          </w:p>
        </w:tc>
        <w:tc>
          <w:tcPr>
            <w:tcW w:w="1325" w:type="pct"/>
            <w:noWrap/>
            <w:vAlign w:val="bottom"/>
          </w:tcPr>
          <w:p w14:paraId="5FDB7E28">
            <w:pPr>
              <w:adjustRightInd w:val="0"/>
              <w:snapToGrid w:val="0"/>
              <w:spacing w:line="240" w:lineRule="auto"/>
              <w:ind w:firstLine="0" w:firstLineChars="0"/>
              <w:jc w:val="center"/>
              <w:rPr>
                <w:rFonts w:ascii="Times New Roman" w:hAnsi="Times New Roman"/>
              </w:rPr>
            </w:pPr>
            <w:r>
              <w:rPr>
                <w:rFonts w:ascii="Times New Roman" w:hAnsi="Times New Roman"/>
              </w:rPr>
              <w:t>2.33</w:t>
            </w:r>
          </w:p>
        </w:tc>
      </w:tr>
      <w:tr w14:paraId="08307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72655C17">
            <w:pPr>
              <w:adjustRightInd w:val="0"/>
              <w:snapToGrid w:val="0"/>
              <w:spacing w:line="240" w:lineRule="auto"/>
              <w:ind w:firstLine="0" w:firstLineChars="0"/>
              <w:jc w:val="center"/>
              <w:rPr>
                <w:rFonts w:ascii="Times New Roman" w:hAnsi="Times New Roman"/>
              </w:rPr>
            </w:pPr>
            <w:r>
              <w:rPr>
                <w:rFonts w:ascii="Times New Roman" w:hAnsi="Times New Roman"/>
              </w:rPr>
              <w:t>排水用地</w:t>
            </w:r>
          </w:p>
        </w:tc>
        <w:tc>
          <w:tcPr>
            <w:tcW w:w="1601" w:type="pct"/>
            <w:noWrap/>
            <w:vAlign w:val="bottom"/>
          </w:tcPr>
          <w:p w14:paraId="1B703DAC">
            <w:pPr>
              <w:adjustRightInd w:val="0"/>
              <w:snapToGrid w:val="0"/>
              <w:spacing w:line="240" w:lineRule="auto"/>
              <w:ind w:firstLine="0" w:firstLineChars="0"/>
              <w:jc w:val="center"/>
              <w:rPr>
                <w:rFonts w:ascii="Times New Roman" w:hAnsi="Times New Roman"/>
              </w:rPr>
            </w:pPr>
            <w:r>
              <w:rPr>
                <w:rFonts w:ascii="Times New Roman" w:hAnsi="Times New Roman"/>
              </w:rPr>
              <w:t>0.4666</w:t>
            </w:r>
          </w:p>
        </w:tc>
        <w:tc>
          <w:tcPr>
            <w:tcW w:w="1325" w:type="pct"/>
            <w:noWrap/>
            <w:vAlign w:val="bottom"/>
          </w:tcPr>
          <w:p w14:paraId="02D0EAA1">
            <w:pPr>
              <w:adjustRightInd w:val="0"/>
              <w:snapToGrid w:val="0"/>
              <w:spacing w:line="240" w:lineRule="auto"/>
              <w:ind w:firstLine="0" w:firstLineChars="0"/>
              <w:jc w:val="center"/>
              <w:rPr>
                <w:rFonts w:ascii="Times New Roman" w:hAnsi="Times New Roman"/>
              </w:rPr>
            </w:pPr>
            <w:r>
              <w:rPr>
                <w:rFonts w:ascii="Times New Roman" w:hAnsi="Times New Roman"/>
              </w:rPr>
              <w:t>0.51</w:t>
            </w:r>
          </w:p>
        </w:tc>
      </w:tr>
      <w:tr w14:paraId="00C1E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32C6F6BA">
            <w:pPr>
              <w:adjustRightInd w:val="0"/>
              <w:snapToGrid w:val="0"/>
              <w:spacing w:line="240" w:lineRule="auto"/>
              <w:ind w:firstLine="0" w:firstLineChars="0"/>
              <w:jc w:val="center"/>
              <w:rPr>
                <w:rFonts w:ascii="Times New Roman" w:hAnsi="Times New Roman"/>
              </w:rPr>
            </w:pPr>
            <w:r>
              <w:rPr>
                <w:rFonts w:ascii="Times New Roman" w:hAnsi="Times New Roman"/>
              </w:rPr>
              <w:t>其他交通设施用地</w:t>
            </w:r>
          </w:p>
        </w:tc>
        <w:tc>
          <w:tcPr>
            <w:tcW w:w="1601" w:type="pct"/>
            <w:noWrap/>
            <w:vAlign w:val="bottom"/>
          </w:tcPr>
          <w:p w14:paraId="6FDC4E7B">
            <w:pPr>
              <w:adjustRightInd w:val="0"/>
              <w:snapToGrid w:val="0"/>
              <w:spacing w:line="240" w:lineRule="auto"/>
              <w:ind w:firstLine="0" w:firstLineChars="0"/>
              <w:jc w:val="center"/>
              <w:rPr>
                <w:rFonts w:ascii="Times New Roman" w:hAnsi="Times New Roman"/>
              </w:rPr>
            </w:pPr>
            <w:r>
              <w:rPr>
                <w:rFonts w:ascii="Times New Roman" w:hAnsi="Times New Roman"/>
              </w:rPr>
              <w:t>1.0937</w:t>
            </w:r>
          </w:p>
        </w:tc>
        <w:tc>
          <w:tcPr>
            <w:tcW w:w="1325" w:type="pct"/>
            <w:noWrap/>
            <w:vAlign w:val="bottom"/>
          </w:tcPr>
          <w:p w14:paraId="4EDD3099">
            <w:pPr>
              <w:adjustRightInd w:val="0"/>
              <w:snapToGrid w:val="0"/>
              <w:spacing w:line="240" w:lineRule="auto"/>
              <w:ind w:firstLine="0" w:firstLineChars="0"/>
              <w:jc w:val="center"/>
              <w:rPr>
                <w:rFonts w:ascii="Times New Roman" w:hAnsi="Times New Roman"/>
              </w:rPr>
            </w:pPr>
            <w:r>
              <w:rPr>
                <w:rFonts w:ascii="Times New Roman" w:hAnsi="Times New Roman"/>
              </w:rPr>
              <w:t>1.19</w:t>
            </w:r>
          </w:p>
        </w:tc>
      </w:tr>
      <w:tr w14:paraId="6B1BC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06A514F6">
            <w:pPr>
              <w:adjustRightInd w:val="0"/>
              <w:snapToGrid w:val="0"/>
              <w:spacing w:line="240" w:lineRule="auto"/>
              <w:ind w:firstLine="0" w:firstLineChars="0"/>
              <w:jc w:val="center"/>
              <w:rPr>
                <w:rFonts w:ascii="Times New Roman" w:hAnsi="Times New Roman"/>
              </w:rPr>
            </w:pPr>
            <w:r>
              <w:rPr>
                <w:rFonts w:ascii="Times New Roman" w:hAnsi="Times New Roman"/>
              </w:rPr>
              <w:t>文化用地</w:t>
            </w:r>
          </w:p>
        </w:tc>
        <w:tc>
          <w:tcPr>
            <w:tcW w:w="1601" w:type="pct"/>
            <w:noWrap/>
            <w:vAlign w:val="bottom"/>
          </w:tcPr>
          <w:p w14:paraId="66944006">
            <w:pPr>
              <w:adjustRightInd w:val="0"/>
              <w:snapToGrid w:val="0"/>
              <w:spacing w:line="240" w:lineRule="auto"/>
              <w:ind w:firstLine="0" w:firstLineChars="0"/>
              <w:jc w:val="center"/>
              <w:rPr>
                <w:rFonts w:ascii="Times New Roman" w:hAnsi="Times New Roman"/>
              </w:rPr>
            </w:pPr>
            <w:r>
              <w:rPr>
                <w:rFonts w:ascii="Times New Roman" w:hAnsi="Times New Roman"/>
              </w:rPr>
              <w:t>0.1550</w:t>
            </w:r>
          </w:p>
        </w:tc>
        <w:tc>
          <w:tcPr>
            <w:tcW w:w="1325" w:type="pct"/>
            <w:noWrap/>
            <w:vAlign w:val="bottom"/>
          </w:tcPr>
          <w:p w14:paraId="7E93F1E6">
            <w:pPr>
              <w:adjustRightInd w:val="0"/>
              <w:snapToGrid w:val="0"/>
              <w:spacing w:line="240" w:lineRule="auto"/>
              <w:ind w:firstLine="0" w:firstLineChars="0"/>
              <w:jc w:val="center"/>
              <w:rPr>
                <w:rFonts w:ascii="Times New Roman" w:hAnsi="Times New Roman"/>
              </w:rPr>
            </w:pPr>
            <w:r>
              <w:rPr>
                <w:rFonts w:ascii="Times New Roman" w:hAnsi="Times New Roman"/>
              </w:rPr>
              <w:t>0.17</w:t>
            </w:r>
          </w:p>
        </w:tc>
      </w:tr>
      <w:tr w14:paraId="1671E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bottom"/>
          </w:tcPr>
          <w:p w14:paraId="3A125D99">
            <w:pPr>
              <w:adjustRightInd w:val="0"/>
              <w:snapToGrid w:val="0"/>
              <w:spacing w:line="240" w:lineRule="auto"/>
              <w:ind w:firstLine="0" w:firstLineChars="0"/>
              <w:jc w:val="center"/>
              <w:rPr>
                <w:rFonts w:ascii="Times New Roman" w:hAnsi="Times New Roman"/>
              </w:rPr>
            </w:pPr>
            <w:r>
              <w:rPr>
                <w:rFonts w:ascii="Times New Roman" w:hAnsi="Times New Roman"/>
              </w:rPr>
              <w:t>医疗卫生用地</w:t>
            </w:r>
          </w:p>
        </w:tc>
        <w:tc>
          <w:tcPr>
            <w:tcW w:w="1601" w:type="pct"/>
            <w:noWrap/>
            <w:vAlign w:val="bottom"/>
          </w:tcPr>
          <w:p w14:paraId="7592B25C">
            <w:pPr>
              <w:adjustRightInd w:val="0"/>
              <w:snapToGrid w:val="0"/>
              <w:spacing w:line="240" w:lineRule="auto"/>
              <w:ind w:firstLine="0" w:firstLineChars="0"/>
              <w:jc w:val="center"/>
              <w:rPr>
                <w:rFonts w:ascii="Times New Roman" w:hAnsi="Times New Roman"/>
              </w:rPr>
            </w:pPr>
            <w:r>
              <w:rPr>
                <w:rFonts w:ascii="Times New Roman" w:hAnsi="Times New Roman"/>
              </w:rPr>
              <w:t>0.1540</w:t>
            </w:r>
          </w:p>
        </w:tc>
        <w:tc>
          <w:tcPr>
            <w:tcW w:w="1325" w:type="pct"/>
            <w:noWrap/>
            <w:vAlign w:val="bottom"/>
          </w:tcPr>
          <w:p w14:paraId="54340F10">
            <w:pPr>
              <w:adjustRightInd w:val="0"/>
              <w:snapToGrid w:val="0"/>
              <w:spacing w:line="240" w:lineRule="auto"/>
              <w:ind w:firstLine="0" w:firstLineChars="0"/>
              <w:jc w:val="center"/>
              <w:rPr>
                <w:rFonts w:ascii="Times New Roman" w:hAnsi="Times New Roman"/>
              </w:rPr>
            </w:pPr>
            <w:r>
              <w:rPr>
                <w:rFonts w:ascii="Times New Roman" w:hAnsi="Times New Roman"/>
              </w:rPr>
              <w:t>0.17</w:t>
            </w:r>
          </w:p>
        </w:tc>
      </w:tr>
      <w:tr w14:paraId="71AB5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074" w:type="pct"/>
            <w:noWrap/>
            <w:vAlign w:val="center"/>
          </w:tcPr>
          <w:p w14:paraId="78679693">
            <w:pPr>
              <w:adjustRightInd w:val="0"/>
              <w:snapToGrid w:val="0"/>
              <w:spacing w:line="240" w:lineRule="auto"/>
              <w:ind w:firstLine="0" w:firstLineChars="0"/>
              <w:jc w:val="center"/>
              <w:rPr>
                <w:rFonts w:ascii="Times New Roman" w:hAnsi="Times New Roman"/>
              </w:rPr>
            </w:pPr>
            <w:r>
              <w:rPr>
                <w:rFonts w:ascii="Times New Roman" w:hAnsi="Times New Roman"/>
              </w:rPr>
              <w:t>总计</w:t>
            </w:r>
          </w:p>
        </w:tc>
        <w:tc>
          <w:tcPr>
            <w:tcW w:w="1601" w:type="pct"/>
            <w:noWrap/>
            <w:vAlign w:val="center"/>
          </w:tcPr>
          <w:p w14:paraId="6E977C74">
            <w:pPr>
              <w:adjustRightInd w:val="0"/>
              <w:snapToGrid w:val="0"/>
              <w:spacing w:line="240" w:lineRule="auto"/>
              <w:ind w:firstLine="0" w:firstLineChars="0"/>
              <w:jc w:val="center"/>
              <w:rPr>
                <w:rFonts w:ascii="Times New Roman" w:hAnsi="Times New Roman"/>
              </w:rPr>
            </w:pPr>
            <w:r>
              <w:rPr>
                <w:rFonts w:ascii="Times New Roman" w:hAnsi="Times New Roman"/>
              </w:rPr>
              <w:t>91.5762</w:t>
            </w:r>
          </w:p>
        </w:tc>
        <w:tc>
          <w:tcPr>
            <w:tcW w:w="1325" w:type="pct"/>
            <w:noWrap/>
            <w:vAlign w:val="center"/>
          </w:tcPr>
          <w:p w14:paraId="27A85C50">
            <w:pPr>
              <w:adjustRightInd w:val="0"/>
              <w:snapToGrid w:val="0"/>
              <w:spacing w:line="240" w:lineRule="auto"/>
              <w:ind w:firstLine="0" w:firstLineChars="0"/>
              <w:jc w:val="center"/>
              <w:rPr>
                <w:rFonts w:ascii="Times New Roman" w:hAnsi="Times New Roman"/>
              </w:rPr>
            </w:pPr>
            <w:r>
              <w:rPr>
                <w:rFonts w:ascii="Times New Roman" w:hAnsi="Times New Roman"/>
              </w:rPr>
              <w:t>100</w:t>
            </w:r>
          </w:p>
        </w:tc>
      </w:tr>
    </w:tbl>
    <w:p w14:paraId="4C91174A">
      <w:pPr>
        <w:keepNext/>
        <w:ind w:firstLine="0" w:firstLineChars="0"/>
        <w:jc w:val="center"/>
        <w:rPr>
          <w:rFonts w:ascii="Times New Roman" w:hAnsi="Times New Roman"/>
        </w:rPr>
      </w:pPr>
      <w:r>
        <w:rPr>
          <w:rFonts w:ascii="Times New Roman" w:hAnsi="Times New Roman"/>
        </w:rPr>
        <w:drawing>
          <wp:inline distT="0" distB="0" distL="0" distR="0">
            <wp:extent cx="5274310" cy="5274310"/>
            <wp:effectExtent l="0" t="0" r="2540" b="2540"/>
            <wp:docPr id="2" name="图片 2" descr="E:\2025年工作\2.成片开发\6.青阳县新河镇十里岗片区土地征收成片开发方案（2025年调整）\图件\图件\用地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2025年工作\2.成片开发\6.青阳县新河镇十里岗片区土地征收成片开发方案（2025年调整）\图件\图件\用地规划图.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274310" cy="5274310"/>
                    </a:xfrm>
                    <a:prstGeom prst="rect">
                      <a:avLst/>
                    </a:prstGeom>
                    <a:noFill/>
                    <a:ln>
                      <a:noFill/>
                    </a:ln>
                  </pic:spPr>
                </pic:pic>
              </a:graphicData>
            </a:graphic>
          </wp:inline>
        </w:drawing>
      </w:r>
    </w:p>
    <w:p w14:paraId="16FEF640">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21</w:t>
      </w:r>
      <w:r>
        <w:rPr>
          <w:rFonts w:ascii="Times New Roman" w:hAnsi="Times New Roman" w:eastAsia="黑体"/>
          <w:bCs/>
          <w:sz w:val="24"/>
        </w:rPr>
        <w:fldChar w:fldCharType="end"/>
      </w:r>
      <w:r>
        <w:rPr>
          <w:rFonts w:ascii="Times New Roman" w:hAnsi="Times New Roman" w:eastAsia="黑体"/>
          <w:bCs/>
          <w:sz w:val="24"/>
        </w:rPr>
        <w:t>青阳县新河镇十里岗片区用地规划图</w:t>
      </w:r>
    </w:p>
    <w:p w14:paraId="06EB4AB6">
      <w:pPr>
        <w:pStyle w:val="3"/>
        <w:ind w:firstLine="560"/>
        <w:rPr>
          <w:rFonts w:ascii="Times New Roman" w:hAnsi="Times New Roman"/>
        </w:rPr>
      </w:pPr>
      <w:bookmarkStart w:id="13" w:name="_Toc207347467"/>
      <w:r>
        <w:rPr>
          <w:rFonts w:ascii="Times New Roman" w:hAnsi="Times New Roman"/>
        </w:rPr>
        <w:t>拟实现的功能</w:t>
      </w:r>
      <w:bookmarkEnd w:id="13"/>
    </w:p>
    <w:p w14:paraId="2EFCA61C">
      <w:pPr>
        <w:ind w:firstLine="560"/>
        <w:rPr>
          <w:rFonts w:ascii="Times New Roman" w:hAnsi="Times New Roman"/>
        </w:rPr>
      </w:pPr>
      <w:r>
        <w:rPr>
          <w:rFonts w:ascii="Times New Roman" w:hAnsi="Times New Roman"/>
        </w:rPr>
        <w:t>成片开发主要实现的功能是：工业发展功能、居住生活功能、综合服务功能、商业商务功能、绿色休闲功能、交通枢纽功能。</w:t>
      </w:r>
    </w:p>
    <w:p w14:paraId="1C9F808B">
      <w:pPr>
        <w:keepNext/>
        <w:ind w:firstLine="0" w:firstLineChars="0"/>
        <w:jc w:val="center"/>
        <w:rPr>
          <w:rFonts w:ascii="Times New Roman" w:hAnsi="Times New Roman"/>
        </w:rPr>
      </w:pPr>
      <w:r>
        <w:rPr>
          <w:rFonts w:ascii="Times New Roman" w:hAnsi="Times New Roman"/>
        </w:rPr>
        <w:drawing>
          <wp:inline distT="0" distB="0" distL="0" distR="0">
            <wp:extent cx="5274310" cy="5274310"/>
            <wp:effectExtent l="0" t="0" r="2540" b="2540"/>
            <wp:docPr id="6" name="图片 6" descr="E:\2025年工作\2.成片开发\6.青阳县新河镇十里岗片区土地征收成片开发方案（2025年调整）\图件\图件\分区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E:\2025年工作\2.成片开发\6.青阳县新河镇十里岗片区土地征收成片开发方案（2025年调整）\图件\图件\分区规划图.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274310" cy="5274310"/>
                    </a:xfrm>
                    <a:prstGeom prst="rect">
                      <a:avLst/>
                    </a:prstGeom>
                    <a:noFill/>
                    <a:ln>
                      <a:noFill/>
                    </a:ln>
                  </pic:spPr>
                </pic:pic>
              </a:graphicData>
            </a:graphic>
          </wp:inline>
        </w:drawing>
      </w:r>
    </w:p>
    <w:p w14:paraId="48BD6C31">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22</w:t>
      </w:r>
      <w:r>
        <w:rPr>
          <w:rFonts w:ascii="Times New Roman" w:hAnsi="Times New Roman" w:eastAsia="黑体"/>
          <w:bCs/>
          <w:sz w:val="24"/>
        </w:rPr>
        <w:fldChar w:fldCharType="end"/>
      </w:r>
      <w:r>
        <w:rPr>
          <w:rFonts w:ascii="Times New Roman" w:hAnsi="Times New Roman" w:eastAsia="黑体"/>
          <w:bCs/>
          <w:sz w:val="24"/>
        </w:rPr>
        <w:t>新河镇十里岗片区分区规划图</w:t>
      </w:r>
    </w:p>
    <w:p w14:paraId="566D0BFC">
      <w:pPr>
        <w:pStyle w:val="2"/>
        <w:ind w:firstLine="602"/>
        <w:jc w:val="both"/>
        <w:rPr>
          <w:rFonts w:ascii="Times New Roman" w:hAnsi="Times New Roman" w:cs="Times New Roman"/>
        </w:rPr>
      </w:pPr>
      <w:bookmarkStart w:id="14" w:name="_Toc207347468"/>
      <w:r>
        <w:rPr>
          <w:rFonts w:ascii="Times New Roman" w:hAnsi="Times New Roman" w:cs="Times New Roman"/>
        </w:rPr>
        <w:t>成片开发拟安排的建设项目、开发时序和年度实施计划</w:t>
      </w:r>
      <w:bookmarkEnd w:id="14"/>
    </w:p>
    <w:p w14:paraId="267F8384">
      <w:pPr>
        <w:pStyle w:val="3"/>
        <w:ind w:firstLine="560"/>
        <w:rPr>
          <w:rFonts w:ascii="Times New Roman" w:hAnsi="Times New Roman"/>
        </w:rPr>
      </w:pPr>
      <w:bookmarkStart w:id="15" w:name="_Toc207347469"/>
      <w:r>
        <w:rPr>
          <w:rFonts w:ascii="Times New Roman" w:hAnsi="Times New Roman"/>
        </w:rPr>
        <w:t>拟安排的建设项目</w:t>
      </w:r>
      <w:bookmarkEnd w:id="15"/>
    </w:p>
    <w:p w14:paraId="2E373B64">
      <w:pPr>
        <w:ind w:firstLine="560"/>
        <w:rPr>
          <w:rFonts w:ascii="Times New Roman" w:hAnsi="Times New Roman"/>
        </w:rPr>
      </w:pPr>
      <w:r>
        <w:rPr>
          <w:rFonts w:ascii="Times New Roman" w:hAnsi="Times New Roman"/>
        </w:rPr>
        <w:t>拟安排的主要建设项目是：工业设施项目、交通运输设施项目、公共管理与公共服务设施项目、防护绿地等。</w:t>
      </w:r>
    </w:p>
    <w:p w14:paraId="69786363">
      <w:pPr>
        <w:ind w:firstLine="560"/>
        <w:rPr>
          <w:rFonts w:ascii="Times New Roman" w:hAnsi="Times New Roman"/>
        </w:rPr>
      </w:pPr>
    </w:p>
    <w:p w14:paraId="68268F3F">
      <w:pPr>
        <w:ind w:firstLine="560"/>
        <w:rPr>
          <w:rFonts w:ascii="Times New Roman" w:hAnsi="Times New Roman"/>
        </w:rPr>
      </w:pPr>
    </w:p>
    <w:p w14:paraId="610AE080">
      <w:pPr>
        <w:ind w:firstLine="560"/>
        <w:rPr>
          <w:rFonts w:ascii="Times New Roman" w:hAnsi="Times New Roman"/>
        </w:rPr>
      </w:pPr>
    </w:p>
    <w:p w14:paraId="6192267D">
      <w:pPr>
        <w:ind w:firstLine="560"/>
        <w:rPr>
          <w:rFonts w:ascii="Times New Roman" w:hAnsi="Times New Roman"/>
        </w:rPr>
      </w:pPr>
    </w:p>
    <w:p w14:paraId="58C0F7E5">
      <w:pPr>
        <w:widowControl/>
        <w:spacing w:line="240" w:lineRule="auto"/>
        <w:ind w:firstLine="0" w:firstLineChars="0"/>
        <w:jc w:val="center"/>
        <w:rPr>
          <w:rFonts w:ascii="Times New Roman" w:hAnsi="Times New Roman" w:eastAsia="黑体"/>
          <w:bCs/>
          <w:sz w:val="24"/>
        </w:rPr>
      </w:pPr>
    </w:p>
    <w:p w14:paraId="20B8253A">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表 </w:t>
      </w:r>
      <w:r>
        <w:rPr>
          <w:rFonts w:ascii="Times New Roman" w:hAnsi="Times New Roman" w:eastAsia="黑体"/>
          <w:bCs/>
          <w:sz w:val="24"/>
        </w:rPr>
        <w:fldChar w:fldCharType="begin"/>
      </w:r>
      <w:r>
        <w:rPr>
          <w:rFonts w:ascii="Times New Roman" w:hAnsi="Times New Roman" w:eastAsia="黑体"/>
          <w:bCs/>
          <w:sz w:val="24"/>
        </w:rPr>
        <w:instrText xml:space="preserve"> SEQ 表 \* ARABIC </w:instrText>
      </w:r>
      <w:r>
        <w:rPr>
          <w:rFonts w:ascii="Times New Roman" w:hAnsi="Times New Roman" w:eastAsia="黑体"/>
          <w:bCs/>
          <w:sz w:val="24"/>
        </w:rPr>
        <w:fldChar w:fldCharType="separate"/>
      </w:r>
      <w:r>
        <w:rPr>
          <w:rFonts w:ascii="Times New Roman" w:hAnsi="Times New Roman" w:eastAsia="黑体"/>
          <w:bCs/>
          <w:sz w:val="24"/>
        </w:rPr>
        <w:t>2</w:t>
      </w:r>
      <w:r>
        <w:rPr>
          <w:rFonts w:ascii="Times New Roman" w:hAnsi="Times New Roman" w:eastAsia="黑体"/>
          <w:bCs/>
          <w:sz w:val="24"/>
        </w:rPr>
        <w:fldChar w:fldCharType="end"/>
      </w:r>
      <w:r>
        <w:rPr>
          <w:rFonts w:ascii="Times New Roman" w:hAnsi="Times New Roman" w:eastAsia="黑体"/>
          <w:bCs/>
          <w:sz w:val="24"/>
        </w:rPr>
        <w:t>新河镇十里岗片区规划用地结构表</w:t>
      </w:r>
    </w:p>
    <w:tbl>
      <w:tblPr>
        <w:tblStyle w:val="1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1"/>
        <w:gridCol w:w="2432"/>
        <w:gridCol w:w="2126"/>
        <w:gridCol w:w="2687"/>
      </w:tblGrid>
      <w:tr w14:paraId="07FF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391" w:type="dxa"/>
            <w:shd w:val="clear" w:color="auto" w:fill="auto"/>
            <w:noWrap/>
            <w:vAlign w:val="center"/>
          </w:tcPr>
          <w:p w14:paraId="3542B435">
            <w:pPr>
              <w:widowControl/>
              <w:ind w:firstLine="0" w:firstLineChars="0"/>
              <w:jc w:val="center"/>
              <w:rPr>
                <w:rFonts w:ascii="Times New Roman" w:hAnsi="Times New Roman"/>
                <w:b/>
                <w:bCs/>
                <w:kern w:val="0"/>
                <w:sz w:val="24"/>
                <w:szCs w:val="22"/>
              </w:rPr>
            </w:pPr>
            <w:r>
              <w:rPr>
                <w:rFonts w:ascii="Times New Roman" w:hAnsi="Times New Roman"/>
                <w:b/>
                <w:bCs/>
                <w:kern w:val="0"/>
                <w:sz w:val="24"/>
                <w:szCs w:val="22"/>
              </w:rPr>
              <w:t>序号</w:t>
            </w:r>
          </w:p>
        </w:tc>
        <w:tc>
          <w:tcPr>
            <w:tcW w:w="2432" w:type="dxa"/>
            <w:shd w:val="clear" w:color="auto" w:fill="auto"/>
            <w:noWrap/>
            <w:vAlign w:val="center"/>
          </w:tcPr>
          <w:p w14:paraId="290F3C2F">
            <w:pPr>
              <w:widowControl/>
              <w:ind w:firstLine="0" w:firstLineChars="0"/>
              <w:jc w:val="center"/>
              <w:rPr>
                <w:rFonts w:ascii="Times New Roman" w:hAnsi="Times New Roman"/>
                <w:b/>
                <w:bCs/>
                <w:kern w:val="0"/>
                <w:sz w:val="24"/>
                <w:szCs w:val="22"/>
              </w:rPr>
            </w:pPr>
            <w:r>
              <w:rPr>
                <w:rFonts w:ascii="Times New Roman" w:hAnsi="Times New Roman"/>
                <w:b/>
                <w:bCs/>
                <w:kern w:val="0"/>
                <w:sz w:val="24"/>
                <w:szCs w:val="22"/>
              </w:rPr>
              <w:t>规划分区</w:t>
            </w:r>
          </w:p>
        </w:tc>
        <w:tc>
          <w:tcPr>
            <w:tcW w:w="2126" w:type="dxa"/>
            <w:shd w:val="clear" w:color="auto" w:fill="auto"/>
            <w:noWrap/>
            <w:vAlign w:val="center"/>
          </w:tcPr>
          <w:p w14:paraId="16A7390D">
            <w:pPr>
              <w:widowControl/>
              <w:ind w:firstLine="0" w:firstLineChars="0"/>
              <w:jc w:val="center"/>
              <w:rPr>
                <w:rFonts w:ascii="Times New Roman" w:hAnsi="Times New Roman"/>
                <w:b/>
                <w:bCs/>
                <w:kern w:val="0"/>
                <w:sz w:val="24"/>
                <w:szCs w:val="22"/>
              </w:rPr>
            </w:pPr>
            <w:r>
              <w:rPr>
                <w:rFonts w:ascii="Times New Roman" w:hAnsi="Times New Roman"/>
                <w:b/>
                <w:bCs/>
                <w:kern w:val="0"/>
                <w:sz w:val="24"/>
                <w:szCs w:val="22"/>
              </w:rPr>
              <w:t>地块数</w:t>
            </w:r>
          </w:p>
        </w:tc>
        <w:tc>
          <w:tcPr>
            <w:tcW w:w="2687" w:type="dxa"/>
            <w:shd w:val="clear" w:color="auto" w:fill="auto"/>
            <w:noWrap/>
            <w:vAlign w:val="center"/>
          </w:tcPr>
          <w:p w14:paraId="28E8F4C3">
            <w:pPr>
              <w:widowControl/>
              <w:ind w:firstLine="0" w:firstLineChars="0"/>
              <w:jc w:val="center"/>
              <w:rPr>
                <w:rFonts w:ascii="Times New Roman" w:hAnsi="Times New Roman"/>
                <w:b/>
                <w:bCs/>
                <w:kern w:val="0"/>
                <w:sz w:val="24"/>
                <w:szCs w:val="22"/>
              </w:rPr>
            </w:pPr>
            <w:r>
              <w:rPr>
                <w:rFonts w:ascii="Times New Roman" w:hAnsi="Times New Roman"/>
                <w:b/>
                <w:bCs/>
                <w:kern w:val="0"/>
                <w:sz w:val="24"/>
                <w:szCs w:val="22"/>
              </w:rPr>
              <w:t>规模（公顷）</w:t>
            </w:r>
          </w:p>
        </w:tc>
      </w:tr>
      <w:tr w14:paraId="52F0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391" w:type="dxa"/>
            <w:shd w:val="clear" w:color="auto" w:fill="auto"/>
            <w:noWrap/>
            <w:vAlign w:val="center"/>
          </w:tcPr>
          <w:p w14:paraId="668331F1">
            <w:pPr>
              <w:ind w:firstLine="0" w:firstLineChars="0"/>
              <w:jc w:val="center"/>
              <w:rPr>
                <w:rFonts w:ascii="Times New Roman" w:hAnsi="Times New Roman"/>
                <w:bCs/>
                <w:kern w:val="0"/>
                <w:sz w:val="24"/>
                <w:szCs w:val="22"/>
              </w:rPr>
            </w:pPr>
            <w:r>
              <w:rPr>
                <w:rFonts w:ascii="Times New Roman" w:hAnsi="Times New Roman"/>
                <w:bCs/>
                <w:kern w:val="0"/>
                <w:sz w:val="24"/>
                <w:szCs w:val="22"/>
              </w:rPr>
              <w:t>1</w:t>
            </w:r>
          </w:p>
        </w:tc>
        <w:tc>
          <w:tcPr>
            <w:tcW w:w="2432" w:type="dxa"/>
            <w:shd w:val="clear" w:color="auto" w:fill="auto"/>
            <w:noWrap/>
            <w:vAlign w:val="center"/>
          </w:tcPr>
          <w:p w14:paraId="2B006C33">
            <w:pPr>
              <w:ind w:firstLine="0" w:firstLineChars="0"/>
              <w:jc w:val="center"/>
              <w:rPr>
                <w:rFonts w:ascii="Times New Roman" w:hAnsi="Times New Roman"/>
                <w:bCs/>
                <w:kern w:val="0"/>
                <w:sz w:val="24"/>
                <w:szCs w:val="22"/>
              </w:rPr>
            </w:pPr>
            <w:r>
              <w:rPr>
                <w:rFonts w:ascii="Times New Roman" w:hAnsi="Times New Roman"/>
                <w:bCs/>
                <w:kern w:val="0"/>
                <w:sz w:val="24"/>
                <w:szCs w:val="22"/>
              </w:rPr>
              <w:t>工业发展区</w:t>
            </w:r>
          </w:p>
        </w:tc>
        <w:tc>
          <w:tcPr>
            <w:tcW w:w="2126" w:type="dxa"/>
            <w:shd w:val="clear" w:color="auto" w:fill="auto"/>
            <w:noWrap/>
            <w:vAlign w:val="center"/>
          </w:tcPr>
          <w:p w14:paraId="08C3EF30">
            <w:pPr>
              <w:ind w:firstLine="0" w:firstLineChars="0"/>
              <w:jc w:val="center"/>
              <w:rPr>
                <w:rFonts w:ascii="Times New Roman" w:hAnsi="Times New Roman"/>
                <w:bCs/>
                <w:kern w:val="0"/>
                <w:sz w:val="24"/>
                <w:szCs w:val="22"/>
              </w:rPr>
            </w:pPr>
            <w:r>
              <w:rPr>
                <w:rFonts w:ascii="Times New Roman" w:hAnsi="Times New Roman"/>
                <w:bCs/>
                <w:kern w:val="0"/>
                <w:sz w:val="24"/>
                <w:szCs w:val="22"/>
              </w:rPr>
              <w:t>9</w:t>
            </w:r>
          </w:p>
        </w:tc>
        <w:tc>
          <w:tcPr>
            <w:tcW w:w="2687" w:type="dxa"/>
            <w:shd w:val="clear" w:color="auto" w:fill="auto"/>
            <w:noWrap/>
            <w:vAlign w:val="bottom"/>
          </w:tcPr>
          <w:p w14:paraId="4970A345">
            <w:pPr>
              <w:ind w:firstLine="0" w:firstLineChars="0"/>
              <w:jc w:val="center"/>
              <w:rPr>
                <w:rFonts w:ascii="Times New Roman" w:hAnsi="Times New Roman"/>
                <w:bCs/>
                <w:kern w:val="0"/>
                <w:sz w:val="24"/>
                <w:szCs w:val="22"/>
              </w:rPr>
            </w:pPr>
            <w:r>
              <w:rPr>
                <w:rFonts w:ascii="Times New Roman" w:hAnsi="Times New Roman"/>
                <w:bCs/>
                <w:kern w:val="0"/>
                <w:sz w:val="24"/>
                <w:szCs w:val="22"/>
              </w:rPr>
              <w:t>50.7037</w:t>
            </w:r>
          </w:p>
        </w:tc>
      </w:tr>
      <w:tr w14:paraId="06A1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391" w:type="dxa"/>
            <w:shd w:val="clear" w:color="auto" w:fill="auto"/>
            <w:noWrap/>
            <w:vAlign w:val="center"/>
          </w:tcPr>
          <w:p w14:paraId="08E02EAC">
            <w:pPr>
              <w:ind w:firstLine="0" w:firstLineChars="0"/>
              <w:jc w:val="center"/>
              <w:rPr>
                <w:rFonts w:ascii="Times New Roman" w:hAnsi="Times New Roman"/>
                <w:bCs/>
                <w:kern w:val="0"/>
                <w:sz w:val="24"/>
                <w:szCs w:val="22"/>
              </w:rPr>
            </w:pPr>
            <w:r>
              <w:rPr>
                <w:rFonts w:ascii="Times New Roman" w:hAnsi="Times New Roman"/>
                <w:bCs/>
                <w:kern w:val="0"/>
                <w:sz w:val="24"/>
                <w:szCs w:val="22"/>
              </w:rPr>
              <w:t>2</w:t>
            </w:r>
          </w:p>
        </w:tc>
        <w:tc>
          <w:tcPr>
            <w:tcW w:w="2432" w:type="dxa"/>
            <w:shd w:val="clear" w:color="auto" w:fill="auto"/>
            <w:noWrap/>
            <w:vAlign w:val="center"/>
          </w:tcPr>
          <w:p w14:paraId="7D45E32A">
            <w:pPr>
              <w:ind w:firstLine="0" w:firstLineChars="0"/>
              <w:jc w:val="center"/>
              <w:rPr>
                <w:rFonts w:ascii="Times New Roman" w:hAnsi="Times New Roman"/>
                <w:bCs/>
                <w:kern w:val="0"/>
                <w:sz w:val="24"/>
                <w:szCs w:val="22"/>
              </w:rPr>
            </w:pPr>
            <w:r>
              <w:rPr>
                <w:rFonts w:ascii="Times New Roman" w:hAnsi="Times New Roman"/>
                <w:bCs/>
                <w:kern w:val="0"/>
                <w:sz w:val="24"/>
                <w:szCs w:val="22"/>
              </w:rPr>
              <w:t>交通枢纽区</w:t>
            </w:r>
          </w:p>
        </w:tc>
        <w:tc>
          <w:tcPr>
            <w:tcW w:w="2126" w:type="dxa"/>
            <w:shd w:val="clear" w:color="auto" w:fill="auto"/>
            <w:noWrap/>
            <w:vAlign w:val="center"/>
          </w:tcPr>
          <w:p w14:paraId="67CB1ADA">
            <w:pPr>
              <w:ind w:firstLine="0" w:firstLineChars="0"/>
              <w:jc w:val="center"/>
              <w:rPr>
                <w:rFonts w:ascii="Times New Roman" w:hAnsi="Times New Roman"/>
                <w:bCs/>
                <w:kern w:val="0"/>
                <w:sz w:val="24"/>
                <w:szCs w:val="22"/>
              </w:rPr>
            </w:pPr>
            <w:r>
              <w:rPr>
                <w:rFonts w:ascii="Times New Roman" w:hAnsi="Times New Roman"/>
                <w:bCs/>
                <w:kern w:val="0"/>
                <w:sz w:val="24"/>
                <w:szCs w:val="22"/>
              </w:rPr>
              <w:t>11</w:t>
            </w:r>
          </w:p>
        </w:tc>
        <w:tc>
          <w:tcPr>
            <w:tcW w:w="2687" w:type="dxa"/>
            <w:shd w:val="clear" w:color="auto" w:fill="auto"/>
            <w:noWrap/>
            <w:vAlign w:val="bottom"/>
          </w:tcPr>
          <w:p w14:paraId="4FB9E2C7">
            <w:pPr>
              <w:ind w:firstLine="0" w:firstLineChars="0"/>
              <w:jc w:val="center"/>
              <w:rPr>
                <w:rFonts w:ascii="Times New Roman" w:hAnsi="Times New Roman"/>
                <w:bCs/>
                <w:kern w:val="0"/>
                <w:sz w:val="24"/>
                <w:szCs w:val="22"/>
              </w:rPr>
            </w:pPr>
            <w:r>
              <w:rPr>
                <w:rFonts w:ascii="Times New Roman" w:hAnsi="Times New Roman"/>
                <w:bCs/>
                <w:kern w:val="0"/>
                <w:sz w:val="24"/>
                <w:szCs w:val="22"/>
              </w:rPr>
              <w:t>10.8406</w:t>
            </w:r>
          </w:p>
        </w:tc>
      </w:tr>
      <w:tr w14:paraId="4571E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391" w:type="dxa"/>
            <w:shd w:val="clear" w:color="auto" w:fill="auto"/>
            <w:noWrap/>
            <w:vAlign w:val="center"/>
          </w:tcPr>
          <w:p w14:paraId="18D82810">
            <w:pPr>
              <w:ind w:firstLine="0" w:firstLineChars="0"/>
              <w:jc w:val="center"/>
              <w:rPr>
                <w:rFonts w:ascii="Times New Roman" w:hAnsi="Times New Roman"/>
                <w:bCs/>
                <w:kern w:val="0"/>
                <w:sz w:val="24"/>
                <w:szCs w:val="22"/>
              </w:rPr>
            </w:pPr>
            <w:r>
              <w:rPr>
                <w:rFonts w:ascii="Times New Roman" w:hAnsi="Times New Roman"/>
                <w:bCs/>
                <w:kern w:val="0"/>
                <w:sz w:val="24"/>
                <w:szCs w:val="22"/>
              </w:rPr>
              <w:t>3</w:t>
            </w:r>
          </w:p>
        </w:tc>
        <w:tc>
          <w:tcPr>
            <w:tcW w:w="2432" w:type="dxa"/>
            <w:shd w:val="clear" w:color="auto" w:fill="auto"/>
            <w:noWrap/>
            <w:vAlign w:val="center"/>
          </w:tcPr>
          <w:p w14:paraId="41D05E6C">
            <w:pPr>
              <w:ind w:firstLine="0" w:firstLineChars="0"/>
              <w:jc w:val="center"/>
              <w:rPr>
                <w:rFonts w:ascii="Times New Roman" w:hAnsi="Times New Roman"/>
                <w:bCs/>
                <w:kern w:val="0"/>
                <w:sz w:val="24"/>
                <w:szCs w:val="22"/>
              </w:rPr>
            </w:pPr>
            <w:r>
              <w:rPr>
                <w:rFonts w:ascii="Times New Roman" w:hAnsi="Times New Roman"/>
                <w:bCs/>
                <w:kern w:val="0"/>
                <w:sz w:val="24"/>
                <w:szCs w:val="22"/>
              </w:rPr>
              <w:t>居住生活区</w:t>
            </w:r>
          </w:p>
        </w:tc>
        <w:tc>
          <w:tcPr>
            <w:tcW w:w="2126" w:type="dxa"/>
            <w:shd w:val="clear" w:color="auto" w:fill="auto"/>
            <w:noWrap/>
            <w:vAlign w:val="center"/>
          </w:tcPr>
          <w:p w14:paraId="3FC968AB">
            <w:pPr>
              <w:ind w:firstLine="0" w:firstLineChars="0"/>
              <w:jc w:val="center"/>
              <w:rPr>
                <w:rFonts w:ascii="Times New Roman" w:hAnsi="Times New Roman"/>
                <w:bCs/>
                <w:kern w:val="0"/>
                <w:sz w:val="24"/>
                <w:szCs w:val="22"/>
              </w:rPr>
            </w:pPr>
            <w:r>
              <w:rPr>
                <w:rFonts w:ascii="Times New Roman" w:hAnsi="Times New Roman"/>
                <w:bCs/>
                <w:kern w:val="0"/>
                <w:sz w:val="24"/>
                <w:szCs w:val="22"/>
              </w:rPr>
              <w:t>10</w:t>
            </w:r>
          </w:p>
        </w:tc>
        <w:tc>
          <w:tcPr>
            <w:tcW w:w="2687" w:type="dxa"/>
            <w:shd w:val="clear" w:color="auto" w:fill="auto"/>
            <w:noWrap/>
            <w:vAlign w:val="bottom"/>
          </w:tcPr>
          <w:p w14:paraId="1F0E734B">
            <w:pPr>
              <w:ind w:firstLine="0" w:firstLineChars="0"/>
              <w:jc w:val="center"/>
              <w:rPr>
                <w:rFonts w:ascii="Times New Roman" w:hAnsi="Times New Roman"/>
                <w:bCs/>
                <w:kern w:val="0"/>
                <w:sz w:val="24"/>
                <w:szCs w:val="22"/>
              </w:rPr>
            </w:pPr>
            <w:r>
              <w:rPr>
                <w:rFonts w:ascii="Times New Roman" w:hAnsi="Times New Roman"/>
                <w:bCs/>
                <w:kern w:val="0"/>
                <w:sz w:val="24"/>
                <w:szCs w:val="22"/>
              </w:rPr>
              <w:t>6.5780</w:t>
            </w:r>
          </w:p>
        </w:tc>
      </w:tr>
      <w:tr w14:paraId="53506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391" w:type="dxa"/>
            <w:shd w:val="clear" w:color="auto" w:fill="auto"/>
            <w:noWrap/>
            <w:vAlign w:val="center"/>
          </w:tcPr>
          <w:p w14:paraId="2D988278">
            <w:pPr>
              <w:ind w:firstLine="0" w:firstLineChars="0"/>
              <w:jc w:val="center"/>
              <w:rPr>
                <w:rFonts w:ascii="Times New Roman" w:hAnsi="Times New Roman"/>
                <w:bCs/>
                <w:kern w:val="0"/>
                <w:sz w:val="24"/>
                <w:szCs w:val="22"/>
              </w:rPr>
            </w:pPr>
            <w:r>
              <w:rPr>
                <w:rFonts w:ascii="Times New Roman" w:hAnsi="Times New Roman"/>
                <w:bCs/>
                <w:kern w:val="0"/>
                <w:sz w:val="24"/>
                <w:szCs w:val="22"/>
              </w:rPr>
              <w:t>4</w:t>
            </w:r>
          </w:p>
        </w:tc>
        <w:tc>
          <w:tcPr>
            <w:tcW w:w="2432" w:type="dxa"/>
            <w:shd w:val="clear" w:color="auto" w:fill="auto"/>
            <w:noWrap/>
            <w:vAlign w:val="center"/>
          </w:tcPr>
          <w:p w14:paraId="0D378767">
            <w:pPr>
              <w:ind w:firstLine="0" w:firstLineChars="0"/>
              <w:jc w:val="center"/>
              <w:rPr>
                <w:rFonts w:ascii="Times New Roman" w:hAnsi="Times New Roman"/>
                <w:bCs/>
                <w:kern w:val="0"/>
                <w:sz w:val="24"/>
                <w:szCs w:val="22"/>
              </w:rPr>
            </w:pPr>
            <w:r>
              <w:rPr>
                <w:rFonts w:ascii="Times New Roman" w:hAnsi="Times New Roman"/>
                <w:bCs/>
                <w:kern w:val="0"/>
                <w:sz w:val="24"/>
                <w:szCs w:val="22"/>
              </w:rPr>
              <w:t>绿地休闲区</w:t>
            </w:r>
          </w:p>
        </w:tc>
        <w:tc>
          <w:tcPr>
            <w:tcW w:w="2126" w:type="dxa"/>
            <w:shd w:val="clear" w:color="auto" w:fill="auto"/>
            <w:noWrap/>
            <w:vAlign w:val="center"/>
          </w:tcPr>
          <w:p w14:paraId="4F865EB9">
            <w:pPr>
              <w:ind w:firstLine="0" w:firstLineChars="0"/>
              <w:jc w:val="center"/>
              <w:rPr>
                <w:rFonts w:ascii="Times New Roman" w:hAnsi="Times New Roman"/>
                <w:bCs/>
                <w:kern w:val="0"/>
                <w:sz w:val="24"/>
                <w:szCs w:val="22"/>
              </w:rPr>
            </w:pPr>
            <w:r>
              <w:rPr>
                <w:rFonts w:ascii="Times New Roman" w:hAnsi="Times New Roman"/>
                <w:bCs/>
                <w:kern w:val="0"/>
                <w:sz w:val="24"/>
                <w:szCs w:val="22"/>
              </w:rPr>
              <w:t>18</w:t>
            </w:r>
          </w:p>
        </w:tc>
        <w:tc>
          <w:tcPr>
            <w:tcW w:w="2687" w:type="dxa"/>
            <w:shd w:val="clear" w:color="auto" w:fill="auto"/>
            <w:noWrap/>
            <w:vAlign w:val="bottom"/>
          </w:tcPr>
          <w:p w14:paraId="50ADAC31">
            <w:pPr>
              <w:ind w:firstLine="0" w:firstLineChars="0"/>
              <w:jc w:val="center"/>
              <w:rPr>
                <w:rFonts w:ascii="Times New Roman" w:hAnsi="Times New Roman"/>
                <w:bCs/>
                <w:kern w:val="0"/>
                <w:sz w:val="24"/>
                <w:szCs w:val="22"/>
              </w:rPr>
            </w:pPr>
            <w:r>
              <w:rPr>
                <w:rFonts w:ascii="Times New Roman" w:hAnsi="Times New Roman"/>
                <w:bCs/>
                <w:kern w:val="0"/>
                <w:sz w:val="24"/>
                <w:szCs w:val="22"/>
              </w:rPr>
              <w:t>16.7254</w:t>
            </w:r>
          </w:p>
        </w:tc>
      </w:tr>
      <w:tr w14:paraId="37459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391" w:type="dxa"/>
            <w:shd w:val="clear" w:color="auto" w:fill="auto"/>
            <w:noWrap/>
            <w:vAlign w:val="center"/>
          </w:tcPr>
          <w:p w14:paraId="71A6B53B">
            <w:pPr>
              <w:ind w:firstLine="0" w:firstLineChars="0"/>
              <w:jc w:val="center"/>
              <w:rPr>
                <w:rFonts w:ascii="Times New Roman" w:hAnsi="Times New Roman"/>
                <w:bCs/>
                <w:kern w:val="0"/>
                <w:sz w:val="24"/>
                <w:szCs w:val="22"/>
              </w:rPr>
            </w:pPr>
            <w:r>
              <w:rPr>
                <w:rFonts w:ascii="Times New Roman" w:hAnsi="Times New Roman"/>
                <w:bCs/>
                <w:kern w:val="0"/>
                <w:sz w:val="24"/>
                <w:szCs w:val="22"/>
              </w:rPr>
              <w:t>5</w:t>
            </w:r>
          </w:p>
        </w:tc>
        <w:tc>
          <w:tcPr>
            <w:tcW w:w="2432" w:type="dxa"/>
            <w:shd w:val="clear" w:color="auto" w:fill="auto"/>
            <w:noWrap/>
            <w:vAlign w:val="center"/>
          </w:tcPr>
          <w:p w14:paraId="50385912">
            <w:pPr>
              <w:ind w:firstLine="0" w:firstLineChars="0"/>
              <w:jc w:val="center"/>
              <w:rPr>
                <w:rFonts w:ascii="Times New Roman" w:hAnsi="Times New Roman"/>
                <w:bCs/>
                <w:kern w:val="0"/>
                <w:sz w:val="24"/>
                <w:szCs w:val="22"/>
              </w:rPr>
            </w:pPr>
            <w:r>
              <w:rPr>
                <w:rFonts w:ascii="Times New Roman" w:hAnsi="Times New Roman"/>
                <w:bCs/>
                <w:kern w:val="0"/>
                <w:sz w:val="24"/>
                <w:szCs w:val="22"/>
              </w:rPr>
              <w:t>综合服务区</w:t>
            </w:r>
          </w:p>
        </w:tc>
        <w:tc>
          <w:tcPr>
            <w:tcW w:w="2126" w:type="dxa"/>
            <w:shd w:val="clear" w:color="auto" w:fill="auto"/>
            <w:noWrap/>
            <w:vAlign w:val="center"/>
          </w:tcPr>
          <w:p w14:paraId="71BF8BF7">
            <w:pPr>
              <w:ind w:firstLine="0" w:firstLineChars="0"/>
              <w:jc w:val="center"/>
              <w:rPr>
                <w:rFonts w:ascii="Times New Roman" w:hAnsi="Times New Roman"/>
                <w:bCs/>
                <w:kern w:val="0"/>
                <w:sz w:val="24"/>
                <w:szCs w:val="22"/>
              </w:rPr>
            </w:pPr>
            <w:r>
              <w:rPr>
                <w:rFonts w:ascii="Times New Roman" w:hAnsi="Times New Roman"/>
                <w:bCs/>
                <w:kern w:val="0"/>
                <w:sz w:val="24"/>
                <w:szCs w:val="22"/>
              </w:rPr>
              <w:t>16</w:t>
            </w:r>
          </w:p>
        </w:tc>
        <w:tc>
          <w:tcPr>
            <w:tcW w:w="2687" w:type="dxa"/>
            <w:shd w:val="clear" w:color="auto" w:fill="auto"/>
            <w:noWrap/>
            <w:vAlign w:val="bottom"/>
          </w:tcPr>
          <w:p w14:paraId="605E6631">
            <w:pPr>
              <w:ind w:firstLine="0" w:firstLineChars="0"/>
              <w:jc w:val="center"/>
              <w:rPr>
                <w:rFonts w:ascii="Times New Roman" w:hAnsi="Times New Roman"/>
                <w:bCs/>
                <w:kern w:val="0"/>
                <w:sz w:val="24"/>
                <w:szCs w:val="22"/>
              </w:rPr>
            </w:pPr>
            <w:r>
              <w:rPr>
                <w:rFonts w:ascii="Times New Roman" w:hAnsi="Times New Roman"/>
                <w:bCs/>
                <w:kern w:val="0"/>
                <w:sz w:val="24"/>
                <w:szCs w:val="22"/>
              </w:rPr>
              <w:t>6.7285</w:t>
            </w:r>
          </w:p>
        </w:tc>
      </w:tr>
      <w:tr w14:paraId="1E38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823" w:type="dxa"/>
            <w:gridSpan w:val="2"/>
            <w:shd w:val="clear" w:color="auto" w:fill="auto"/>
            <w:noWrap/>
            <w:vAlign w:val="center"/>
          </w:tcPr>
          <w:p w14:paraId="0B464053">
            <w:pPr>
              <w:widowControl/>
              <w:ind w:firstLine="0" w:firstLineChars="0"/>
              <w:jc w:val="center"/>
              <w:rPr>
                <w:rFonts w:ascii="Times New Roman" w:hAnsi="Times New Roman"/>
                <w:bCs/>
                <w:kern w:val="0"/>
                <w:sz w:val="24"/>
                <w:szCs w:val="22"/>
              </w:rPr>
            </w:pPr>
            <w:r>
              <w:rPr>
                <w:rFonts w:ascii="Times New Roman" w:hAnsi="Times New Roman"/>
                <w:bCs/>
                <w:kern w:val="0"/>
                <w:sz w:val="24"/>
                <w:szCs w:val="22"/>
              </w:rPr>
              <w:t>合计</w:t>
            </w:r>
          </w:p>
        </w:tc>
        <w:tc>
          <w:tcPr>
            <w:tcW w:w="2126" w:type="dxa"/>
            <w:shd w:val="clear" w:color="auto" w:fill="auto"/>
            <w:noWrap/>
            <w:vAlign w:val="center"/>
          </w:tcPr>
          <w:p w14:paraId="5059ED6D">
            <w:pPr>
              <w:ind w:firstLine="0" w:firstLineChars="0"/>
              <w:jc w:val="center"/>
              <w:rPr>
                <w:rFonts w:ascii="Times New Roman" w:hAnsi="Times New Roman"/>
                <w:bCs/>
                <w:kern w:val="0"/>
                <w:sz w:val="24"/>
                <w:szCs w:val="22"/>
              </w:rPr>
            </w:pPr>
            <w:r>
              <w:rPr>
                <w:rFonts w:ascii="Times New Roman" w:hAnsi="Times New Roman"/>
                <w:bCs/>
                <w:kern w:val="0"/>
                <w:sz w:val="24"/>
                <w:szCs w:val="22"/>
              </w:rPr>
              <w:t>64</w:t>
            </w:r>
          </w:p>
        </w:tc>
        <w:tc>
          <w:tcPr>
            <w:tcW w:w="2687" w:type="dxa"/>
            <w:shd w:val="clear" w:color="auto" w:fill="auto"/>
            <w:noWrap/>
            <w:vAlign w:val="center"/>
          </w:tcPr>
          <w:p w14:paraId="02BB163C">
            <w:pPr>
              <w:ind w:firstLine="0" w:firstLineChars="0"/>
              <w:jc w:val="center"/>
              <w:rPr>
                <w:rFonts w:ascii="Times New Roman" w:hAnsi="Times New Roman"/>
                <w:bCs/>
                <w:kern w:val="0"/>
                <w:sz w:val="24"/>
                <w:szCs w:val="22"/>
              </w:rPr>
            </w:pPr>
            <w:r>
              <w:rPr>
                <w:rFonts w:ascii="Times New Roman" w:hAnsi="Times New Roman"/>
                <w:bCs/>
                <w:kern w:val="0"/>
                <w:sz w:val="24"/>
                <w:szCs w:val="22"/>
              </w:rPr>
              <w:t>91.5762</w:t>
            </w:r>
          </w:p>
        </w:tc>
      </w:tr>
    </w:tbl>
    <w:p w14:paraId="271F046C">
      <w:pPr>
        <w:pStyle w:val="3"/>
        <w:ind w:firstLine="560"/>
        <w:rPr>
          <w:rFonts w:ascii="Times New Roman" w:hAnsi="Times New Roman"/>
        </w:rPr>
      </w:pPr>
      <w:bookmarkStart w:id="16" w:name="_Toc207347470"/>
      <w:r>
        <w:rPr>
          <w:rFonts w:ascii="Times New Roman" w:hAnsi="Times New Roman"/>
        </w:rPr>
        <w:t>年度实施计划</w:t>
      </w:r>
      <w:bookmarkEnd w:id="16"/>
    </w:p>
    <w:p w14:paraId="1CF2C5D4">
      <w:pPr>
        <w:ind w:firstLine="560"/>
        <w:rPr>
          <w:rFonts w:ascii="Times New Roman" w:hAnsi="Times New Roman"/>
        </w:rPr>
      </w:pPr>
      <w:r>
        <w:rPr>
          <w:rFonts w:ascii="Times New Roman" w:hAnsi="Times New Roman"/>
        </w:rPr>
        <w:t>本片区拟4年内完成土地征收和供地，具体如下：</w:t>
      </w:r>
    </w:p>
    <w:p w14:paraId="334926FA">
      <w:pPr>
        <w:ind w:firstLine="560"/>
        <w:rPr>
          <w:rFonts w:ascii="Times New Roman" w:hAnsi="Times New Roman"/>
        </w:rPr>
      </w:pPr>
      <w:r>
        <w:rPr>
          <w:rFonts w:ascii="Times New Roman" w:hAnsi="Times New Roman"/>
        </w:rPr>
        <w:t>2025年完成土地征收4.3120公顷，土地供应 13.2522公顷‬，主要用于完善片区工业发展用地需求。‬‬‬‬‬‬‬‬‬‬‬‬‬‬‬‬‬‬‬‬‬‬‬‬‬‬‬‬‬‬‬‬‬‬</w:t>
      </w:r>
    </w:p>
    <w:p w14:paraId="0DAF3B08">
      <w:pPr>
        <w:ind w:firstLine="560"/>
        <w:rPr>
          <w:rFonts w:ascii="Times New Roman" w:hAnsi="Times New Roman"/>
        </w:rPr>
      </w:pPr>
      <w:r>
        <w:rPr>
          <w:rFonts w:ascii="Times New Roman" w:hAnsi="Times New Roman"/>
        </w:rPr>
        <w:t>2026年完成土地征收4.5969公顷，土地供应4.3120公顷，主要用于完善片区交通运输用地需求。</w:t>
      </w:r>
    </w:p>
    <w:p w14:paraId="69B191C5">
      <w:pPr>
        <w:ind w:firstLine="560"/>
        <w:rPr>
          <w:rFonts w:ascii="Times New Roman" w:hAnsi="Times New Roman"/>
        </w:rPr>
      </w:pPr>
      <w:r>
        <w:rPr>
          <w:rFonts w:ascii="Times New Roman" w:hAnsi="Times New Roman"/>
        </w:rPr>
        <w:t>2027年完成土地征收8.8657公顷，土地供应4.5969公顷，主要用于完善片区工业发展用地需求。</w:t>
      </w:r>
    </w:p>
    <w:p w14:paraId="4DA2E2AB">
      <w:pPr>
        <w:ind w:firstLine="560"/>
        <w:rPr>
          <w:rFonts w:ascii="Times New Roman" w:hAnsi="Times New Roman"/>
        </w:rPr>
      </w:pPr>
      <w:r>
        <w:rPr>
          <w:rFonts w:ascii="Times New Roman" w:hAnsi="Times New Roman"/>
        </w:rPr>
        <w:t>2028年完成土地征收2.0679公顷，土地供应10.9336公顷，主要用于完善片区工业发展用地需求。</w:t>
      </w:r>
    </w:p>
    <w:p w14:paraId="49A2F485">
      <w:pPr>
        <w:pStyle w:val="2"/>
        <w:ind w:firstLine="602"/>
        <w:jc w:val="both"/>
        <w:rPr>
          <w:rFonts w:ascii="Times New Roman" w:hAnsi="Times New Roman" w:cs="Times New Roman"/>
        </w:rPr>
      </w:pPr>
      <w:bookmarkStart w:id="17" w:name="_Toc207347471"/>
      <w:r>
        <w:rPr>
          <w:rFonts w:ascii="Times New Roman" w:hAnsi="Times New Roman" w:cs="Times New Roman"/>
        </w:rPr>
        <w:t>成片开发范围内基础设施、公共服务设施以及其他公益性用地比例</w:t>
      </w:r>
      <w:bookmarkEnd w:id="17"/>
    </w:p>
    <w:p w14:paraId="5AFCA050">
      <w:pPr>
        <w:pStyle w:val="3"/>
        <w:ind w:firstLine="560"/>
        <w:rPr>
          <w:rFonts w:ascii="Times New Roman" w:hAnsi="Times New Roman"/>
        </w:rPr>
      </w:pPr>
      <w:bookmarkStart w:id="18" w:name="_Toc207347472"/>
      <w:r>
        <w:rPr>
          <w:rFonts w:ascii="Times New Roman" w:hAnsi="Times New Roman"/>
        </w:rPr>
        <w:t>公益性用地比例</w:t>
      </w:r>
      <w:bookmarkEnd w:id="18"/>
    </w:p>
    <w:p w14:paraId="60B4B9D9">
      <w:pPr>
        <w:ind w:firstLine="560"/>
        <w:rPr>
          <w:rFonts w:ascii="Times New Roman" w:hAnsi="Times New Roman"/>
        </w:rPr>
      </w:pPr>
      <w:r>
        <w:rPr>
          <w:rFonts w:ascii="Times New Roman" w:hAnsi="Times New Roman"/>
        </w:rPr>
        <w:t>成片开发范围内，基础设施、公共服务设施以及其他公益性用地比例为40.36%。其中，基础设施用地比例为11.84%，公共服务设施用地比例为28.52%。</w:t>
      </w:r>
    </w:p>
    <w:p w14:paraId="14BE8D4C">
      <w:pPr>
        <w:pStyle w:val="5"/>
        <w:keepNext/>
        <w:ind w:firstLine="0" w:firstLineChars="0"/>
        <w:jc w:val="center"/>
        <w:rPr>
          <w:rFonts w:ascii="Times New Roman" w:hAnsi="Times New Roman"/>
          <w:sz w:val="24"/>
          <w:szCs w:val="24"/>
        </w:rPr>
      </w:pPr>
      <w:r>
        <w:rPr>
          <w:rFonts w:ascii="Times New Roman" w:hAnsi="Times New Roman"/>
          <w:sz w:val="24"/>
          <w:szCs w:val="24"/>
        </w:rPr>
        <w:t xml:space="preserve">表 </w:t>
      </w:r>
      <w:r>
        <w:rPr>
          <w:rFonts w:ascii="Times New Roman" w:hAnsi="Times New Roman"/>
          <w:sz w:val="24"/>
          <w:szCs w:val="24"/>
        </w:rPr>
        <w:fldChar w:fldCharType="begin"/>
      </w:r>
      <w:r>
        <w:rPr>
          <w:rFonts w:ascii="Times New Roman" w:hAnsi="Times New Roman"/>
          <w:sz w:val="24"/>
          <w:szCs w:val="24"/>
        </w:rPr>
        <w:instrText xml:space="preserve"> SEQ 表 \* ARABIC </w:instrText>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r>
        <w:rPr>
          <w:rFonts w:ascii="Times New Roman" w:hAnsi="Times New Roman"/>
          <w:sz w:val="24"/>
          <w:szCs w:val="24"/>
        </w:rPr>
        <w:t>公益性用地统计表</w:t>
      </w:r>
    </w:p>
    <w:tbl>
      <w:tblPr>
        <w:tblStyle w:val="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79"/>
        <w:gridCol w:w="2558"/>
        <w:gridCol w:w="2185"/>
      </w:tblGrid>
      <w:tr w14:paraId="55FA7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217" w:type="pct"/>
            <w:shd w:val="clear" w:color="auto" w:fill="auto"/>
            <w:noWrap/>
            <w:vAlign w:val="center"/>
          </w:tcPr>
          <w:p w14:paraId="3F840457">
            <w:pPr>
              <w:widowControl/>
              <w:spacing w:line="240" w:lineRule="auto"/>
              <w:ind w:firstLine="0" w:firstLineChars="0"/>
              <w:jc w:val="center"/>
              <w:rPr>
                <w:rFonts w:ascii="Times New Roman" w:hAnsi="Times New Roman"/>
                <w:b/>
                <w:bCs/>
                <w:color w:val="000000"/>
                <w:kern w:val="0"/>
                <w:sz w:val="24"/>
              </w:rPr>
            </w:pPr>
            <w:r>
              <w:rPr>
                <w:rFonts w:ascii="Times New Roman" w:hAnsi="Times New Roman"/>
                <w:b/>
                <w:bCs/>
                <w:color w:val="000000"/>
                <w:kern w:val="0"/>
                <w:sz w:val="24"/>
              </w:rPr>
              <w:t>规划用途</w:t>
            </w:r>
          </w:p>
        </w:tc>
        <w:tc>
          <w:tcPr>
            <w:tcW w:w="1501" w:type="pct"/>
            <w:shd w:val="clear" w:color="auto" w:fill="auto"/>
            <w:noWrap/>
            <w:vAlign w:val="center"/>
          </w:tcPr>
          <w:p w14:paraId="5E7F8AC6">
            <w:pPr>
              <w:widowControl/>
              <w:spacing w:line="240" w:lineRule="auto"/>
              <w:ind w:firstLine="0" w:firstLineChars="0"/>
              <w:jc w:val="center"/>
              <w:rPr>
                <w:rFonts w:ascii="Times New Roman" w:hAnsi="Times New Roman"/>
                <w:b/>
                <w:bCs/>
                <w:color w:val="000000"/>
                <w:kern w:val="0"/>
                <w:sz w:val="24"/>
              </w:rPr>
            </w:pPr>
            <w:r>
              <w:rPr>
                <w:rFonts w:ascii="Times New Roman" w:hAnsi="Times New Roman"/>
                <w:b/>
                <w:bCs/>
                <w:color w:val="000000"/>
                <w:kern w:val="0"/>
                <w:sz w:val="24"/>
              </w:rPr>
              <w:t>规模（公顷）</w:t>
            </w:r>
          </w:p>
        </w:tc>
        <w:tc>
          <w:tcPr>
            <w:tcW w:w="1282" w:type="pct"/>
            <w:shd w:val="clear" w:color="auto" w:fill="auto"/>
            <w:noWrap/>
            <w:vAlign w:val="center"/>
          </w:tcPr>
          <w:p w14:paraId="2724CF3F">
            <w:pPr>
              <w:widowControl/>
              <w:spacing w:line="240" w:lineRule="auto"/>
              <w:ind w:firstLine="0" w:firstLineChars="0"/>
              <w:jc w:val="center"/>
              <w:rPr>
                <w:rFonts w:ascii="Times New Roman" w:hAnsi="Times New Roman"/>
                <w:b/>
                <w:bCs/>
                <w:color w:val="000000"/>
                <w:kern w:val="0"/>
                <w:sz w:val="24"/>
              </w:rPr>
            </w:pPr>
            <w:r>
              <w:rPr>
                <w:rFonts w:ascii="Times New Roman" w:hAnsi="Times New Roman"/>
                <w:b/>
                <w:bCs/>
                <w:color w:val="000000"/>
                <w:kern w:val="0"/>
                <w:sz w:val="24"/>
              </w:rPr>
              <w:t>占比（%）</w:t>
            </w:r>
          </w:p>
        </w:tc>
      </w:tr>
      <w:tr w14:paraId="5F40D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3"/>
            <w:shd w:val="clear" w:color="auto" w:fill="auto"/>
            <w:noWrap/>
            <w:vAlign w:val="center"/>
          </w:tcPr>
          <w:p w14:paraId="6DDD67E4">
            <w:pPr>
              <w:widowControl/>
              <w:spacing w:line="240" w:lineRule="auto"/>
              <w:ind w:firstLine="0" w:firstLineChars="0"/>
              <w:rPr>
                <w:rFonts w:ascii="Times New Roman" w:hAnsi="Times New Roman"/>
                <w:b/>
                <w:bCs/>
                <w:color w:val="000000"/>
                <w:kern w:val="0"/>
                <w:sz w:val="24"/>
              </w:rPr>
            </w:pPr>
            <w:r>
              <w:rPr>
                <w:rFonts w:ascii="Times New Roman" w:hAnsi="Times New Roman"/>
                <w:b/>
                <w:bCs/>
                <w:color w:val="000000"/>
                <w:kern w:val="0"/>
                <w:sz w:val="24"/>
              </w:rPr>
              <w:t>基础设施用地</w:t>
            </w:r>
          </w:p>
        </w:tc>
      </w:tr>
      <w:tr w14:paraId="29DB6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1CDF759B">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城镇村道路用地</w:t>
            </w:r>
          </w:p>
        </w:tc>
        <w:tc>
          <w:tcPr>
            <w:tcW w:w="1501" w:type="pct"/>
            <w:shd w:val="clear" w:color="auto" w:fill="auto"/>
            <w:noWrap/>
            <w:vAlign w:val="center"/>
          </w:tcPr>
          <w:p w14:paraId="65C885FC">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6.6002</w:t>
            </w:r>
          </w:p>
        </w:tc>
        <w:tc>
          <w:tcPr>
            <w:tcW w:w="1282" w:type="pct"/>
            <w:shd w:val="clear" w:color="auto" w:fill="auto"/>
            <w:noWrap/>
            <w:vAlign w:val="center"/>
          </w:tcPr>
          <w:p w14:paraId="49989371">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7.21</w:t>
            </w:r>
          </w:p>
        </w:tc>
      </w:tr>
      <w:tr w14:paraId="0BA1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4E6E6D0E">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公路用地</w:t>
            </w:r>
          </w:p>
        </w:tc>
        <w:tc>
          <w:tcPr>
            <w:tcW w:w="1501" w:type="pct"/>
            <w:shd w:val="clear" w:color="auto" w:fill="auto"/>
            <w:noWrap/>
            <w:vAlign w:val="center"/>
          </w:tcPr>
          <w:p w14:paraId="50D9557E">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2.8083</w:t>
            </w:r>
          </w:p>
        </w:tc>
        <w:tc>
          <w:tcPr>
            <w:tcW w:w="1282" w:type="pct"/>
            <w:shd w:val="clear" w:color="auto" w:fill="auto"/>
            <w:noWrap/>
            <w:vAlign w:val="center"/>
          </w:tcPr>
          <w:p w14:paraId="58071F18">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3.07</w:t>
            </w:r>
          </w:p>
        </w:tc>
      </w:tr>
      <w:tr w14:paraId="35A6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47D43061">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交通场站用地</w:t>
            </w:r>
          </w:p>
        </w:tc>
        <w:tc>
          <w:tcPr>
            <w:tcW w:w="1501" w:type="pct"/>
            <w:shd w:val="clear" w:color="auto" w:fill="auto"/>
            <w:noWrap/>
            <w:vAlign w:val="center"/>
          </w:tcPr>
          <w:p w14:paraId="3B05457C">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0.3384</w:t>
            </w:r>
          </w:p>
        </w:tc>
        <w:tc>
          <w:tcPr>
            <w:tcW w:w="1282" w:type="pct"/>
            <w:shd w:val="clear" w:color="auto" w:fill="auto"/>
            <w:noWrap/>
            <w:vAlign w:val="center"/>
          </w:tcPr>
          <w:p w14:paraId="246DABC7">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0.37</w:t>
            </w:r>
          </w:p>
        </w:tc>
      </w:tr>
      <w:tr w14:paraId="6AD6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17FAE294">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其他交通设施用地</w:t>
            </w:r>
          </w:p>
        </w:tc>
        <w:tc>
          <w:tcPr>
            <w:tcW w:w="1501" w:type="pct"/>
            <w:shd w:val="clear" w:color="auto" w:fill="auto"/>
            <w:noWrap/>
            <w:vAlign w:val="center"/>
          </w:tcPr>
          <w:p w14:paraId="4462DF99">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1.0937</w:t>
            </w:r>
          </w:p>
        </w:tc>
        <w:tc>
          <w:tcPr>
            <w:tcW w:w="1282" w:type="pct"/>
            <w:shd w:val="clear" w:color="auto" w:fill="auto"/>
            <w:noWrap/>
            <w:vAlign w:val="center"/>
          </w:tcPr>
          <w:p w14:paraId="405AEA4F">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1.19</w:t>
            </w:r>
          </w:p>
        </w:tc>
      </w:tr>
      <w:tr w14:paraId="6349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3353458A">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小计</w:t>
            </w:r>
          </w:p>
        </w:tc>
        <w:tc>
          <w:tcPr>
            <w:tcW w:w="1501" w:type="pct"/>
            <w:shd w:val="clear" w:color="auto" w:fill="auto"/>
            <w:noWrap/>
            <w:vAlign w:val="center"/>
          </w:tcPr>
          <w:p w14:paraId="358A26F3">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10.8406</w:t>
            </w:r>
          </w:p>
        </w:tc>
        <w:tc>
          <w:tcPr>
            <w:tcW w:w="1282" w:type="pct"/>
            <w:shd w:val="clear" w:color="auto" w:fill="auto"/>
            <w:noWrap/>
            <w:vAlign w:val="center"/>
          </w:tcPr>
          <w:p w14:paraId="08FC057C">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11.84</w:t>
            </w:r>
          </w:p>
        </w:tc>
      </w:tr>
      <w:tr w14:paraId="74629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3"/>
            <w:shd w:val="clear" w:color="auto" w:fill="auto"/>
            <w:noWrap/>
            <w:vAlign w:val="center"/>
          </w:tcPr>
          <w:p w14:paraId="5B5D81FF">
            <w:pPr>
              <w:widowControl/>
              <w:spacing w:line="240" w:lineRule="auto"/>
              <w:ind w:firstLine="0" w:firstLineChars="0"/>
              <w:rPr>
                <w:rFonts w:ascii="Times New Roman" w:hAnsi="Times New Roman"/>
                <w:b/>
                <w:bCs/>
                <w:color w:val="000000"/>
                <w:kern w:val="0"/>
                <w:sz w:val="24"/>
              </w:rPr>
            </w:pPr>
            <w:r>
              <w:rPr>
                <w:rFonts w:ascii="Times New Roman" w:hAnsi="Times New Roman"/>
                <w:b/>
                <w:bCs/>
                <w:color w:val="000000"/>
                <w:kern w:val="0"/>
                <w:sz w:val="24"/>
              </w:rPr>
              <w:t>公共服务设施用地</w:t>
            </w:r>
          </w:p>
        </w:tc>
      </w:tr>
      <w:tr w14:paraId="0AA44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1F9C9A2F">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城镇住宅用地（保障性住房）</w:t>
            </w:r>
          </w:p>
        </w:tc>
        <w:tc>
          <w:tcPr>
            <w:tcW w:w="1501" w:type="pct"/>
            <w:shd w:val="clear" w:color="auto" w:fill="auto"/>
            <w:noWrap/>
            <w:vAlign w:val="center"/>
          </w:tcPr>
          <w:p w14:paraId="15C27C29">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2.6652</w:t>
            </w:r>
          </w:p>
        </w:tc>
        <w:tc>
          <w:tcPr>
            <w:tcW w:w="1282" w:type="pct"/>
            <w:shd w:val="clear" w:color="auto" w:fill="auto"/>
            <w:noWrap/>
            <w:vAlign w:val="center"/>
          </w:tcPr>
          <w:p w14:paraId="626DBD3E">
            <w:pPr>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2.91</w:t>
            </w:r>
          </w:p>
        </w:tc>
      </w:tr>
      <w:tr w14:paraId="6DDCD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67659CF5">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防护绿地</w:t>
            </w:r>
          </w:p>
        </w:tc>
        <w:tc>
          <w:tcPr>
            <w:tcW w:w="1501" w:type="pct"/>
            <w:shd w:val="clear" w:color="auto" w:fill="auto"/>
            <w:noWrap/>
            <w:vAlign w:val="center"/>
          </w:tcPr>
          <w:p w14:paraId="2B6646FD">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16.7254</w:t>
            </w:r>
          </w:p>
        </w:tc>
        <w:tc>
          <w:tcPr>
            <w:tcW w:w="1282" w:type="pct"/>
            <w:shd w:val="clear" w:color="auto" w:fill="auto"/>
            <w:noWrap/>
            <w:vAlign w:val="center"/>
          </w:tcPr>
          <w:p w14:paraId="159CE966">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18.26</w:t>
            </w:r>
          </w:p>
        </w:tc>
      </w:tr>
      <w:tr w14:paraId="42AA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2BA65124">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供电用地</w:t>
            </w:r>
          </w:p>
        </w:tc>
        <w:tc>
          <w:tcPr>
            <w:tcW w:w="1501" w:type="pct"/>
            <w:shd w:val="clear" w:color="auto" w:fill="auto"/>
            <w:noWrap/>
            <w:vAlign w:val="center"/>
          </w:tcPr>
          <w:p w14:paraId="246351A5">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0.4344</w:t>
            </w:r>
          </w:p>
        </w:tc>
        <w:tc>
          <w:tcPr>
            <w:tcW w:w="1282" w:type="pct"/>
            <w:shd w:val="clear" w:color="auto" w:fill="auto"/>
            <w:noWrap/>
            <w:vAlign w:val="center"/>
          </w:tcPr>
          <w:p w14:paraId="6DCB8578">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0.47</w:t>
            </w:r>
          </w:p>
        </w:tc>
      </w:tr>
      <w:tr w14:paraId="02C7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5FEBDAF6">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供水用地</w:t>
            </w:r>
          </w:p>
        </w:tc>
        <w:tc>
          <w:tcPr>
            <w:tcW w:w="1501" w:type="pct"/>
            <w:shd w:val="clear" w:color="auto" w:fill="auto"/>
            <w:noWrap/>
            <w:vAlign w:val="center"/>
          </w:tcPr>
          <w:p w14:paraId="7C357718">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0.0962</w:t>
            </w:r>
          </w:p>
        </w:tc>
        <w:tc>
          <w:tcPr>
            <w:tcW w:w="1282" w:type="pct"/>
            <w:shd w:val="clear" w:color="auto" w:fill="auto"/>
            <w:noWrap/>
            <w:vAlign w:val="center"/>
          </w:tcPr>
          <w:p w14:paraId="5064DA0C">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0.11</w:t>
            </w:r>
          </w:p>
        </w:tc>
      </w:tr>
      <w:tr w14:paraId="1C785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44372E22">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环卫用地</w:t>
            </w:r>
          </w:p>
        </w:tc>
        <w:tc>
          <w:tcPr>
            <w:tcW w:w="1501" w:type="pct"/>
            <w:shd w:val="clear" w:color="auto" w:fill="auto"/>
            <w:noWrap/>
            <w:vAlign w:val="center"/>
          </w:tcPr>
          <w:p w14:paraId="7C3A0D33">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0.2276</w:t>
            </w:r>
          </w:p>
        </w:tc>
        <w:tc>
          <w:tcPr>
            <w:tcW w:w="1282" w:type="pct"/>
            <w:shd w:val="clear" w:color="auto" w:fill="auto"/>
            <w:noWrap/>
            <w:vAlign w:val="center"/>
          </w:tcPr>
          <w:p w14:paraId="0C6EDD4B">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0.25</w:t>
            </w:r>
          </w:p>
        </w:tc>
      </w:tr>
      <w:tr w14:paraId="0678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1A1FAE7A">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机关团体用地</w:t>
            </w:r>
          </w:p>
        </w:tc>
        <w:tc>
          <w:tcPr>
            <w:tcW w:w="1501" w:type="pct"/>
            <w:shd w:val="clear" w:color="auto" w:fill="auto"/>
            <w:noWrap/>
            <w:vAlign w:val="center"/>
          </w:tcPr>
          <w:p w14:paraId="575ED90E">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3.0581</w:t>
            </w:r>
          </w:p>
        </w:tc>
        <w:tc>
          <w:tcPr>
            <w:tcW w:w="1282" w:type="pct"/>
            <w:shd w:val="clear" w:color="auto" w:fill="auto"/>
            <w:noWrap/>
            <w:vAlign w:val="center"/>
          </w:tcPr>
          <w:p w14:paraId="7AEC1D7D">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3.34</w:t>
            </w:r>
          </w:p>
        </w:tc>
      </w:tr>
      <w:tr w14:paraId="721D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17751112">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教育用地</w:t>
            </w:r>
          </w:p>
        </w:tc>
        <w:tc>
          <w:tcPr>
            <w:tcW w:w="1501" w:type="pct"/>
            <w:shd w:val="clear" w:color="auto" w:fill="auto"/>
            <w:noWrap/>
            <w:vAlign w:val="center"/>
          </w:tcPr>
          <w:p w14:paraId="32F9F185">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2.1366</w:t>
            </w:r>
          </w:p>
        </w:tc>
        <w:tc>
          <w:tcPr>
            <w:tcW w:w="1282" w:type="pct"/>
            <w:shd w:val="clear" w:color="auto" w:fill="auto"/>
            <w:noWrap/>
            <w:vAlign w:val="center"/>
          </w:tcPr>
          <w:p w14:paraId="65E8696C">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2.33</w:t>
            </w:r>
          </w:p>
        </w:tc>
      </w:tr>
      <w:tr w14:paraId="1C19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79081CD5">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排水用地</w:t>
            </w:r>
          </w:p>
        </w:tc>
        <w:tc>
          <w:tcPr>
            <w:tcW w:w="1501" w:type="pct"/>
            <w:shd w:val="clear" w:color="auto" w:fill="auto"/>
            <w:noWrap/>
            <w:vAlign w:val="center"/>
          </w:tcPr>
          <w:p w14:paraId="511FBD55">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0.4666</w:t>
            </w:r>
          </w:p>
        </w:tc>
        <w:tc>
          <w:tcPr>
            <w:tcW w:w="1282" w:type="pct"/>
            <w:shd w:val="clear" w:color="auto" w:fill="auto"/>
            <w:noWrap/>
            <w:vAlign w:val="center"/>
          </w:tcPr>
          <w:p w14:paraId="2A9EC36D">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0.51</w:t>
            </w:r>
          </w:p>
        </w:tc>
      </w:tr>
      <w:tr w14:paraId="480E7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797952F9">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文化用地</w:t>
            </w:r>
          </w:p>
        </w:tc>
        <w:tc>
          <w:tcPr>
            <w:tcW w:w="1501" w:type="pct"/>
            <w:shd w:val="clear" w:color="auto" w:fill="auto"/>
            <w:noWrap/>
            <w:vAlign w:val="center"/>
          </w:tcPr>
          <w:p w14:paraId="0E872C28">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0.1550</w:t>
            </w:r>
          </w:p>
        </w:tc>
        <w:tc>
          <w:tcPr>
            <w:tcW w:w="1282" w:type="pct"/>
            <w:shd w:val="clear" w:color="auto" w:fill="auto"/>
            <w:noWrap/>
            <w:vAlign w:val="center"/>
          </w:tcPr>
          <w:p w14:paraId="2D09CF7E">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0.17</w:t>
            </w:r>
          </w:p>
        </w:tc>
      </w:tr>
      <w:tr w14:paraId="31BD0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1F7998AA">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医疗卫生用地</w:t>
            </w:r>
          </w:p>
        </w:tc>
        <w:tc>
          <w:tcPr>
            <w:tcW w:w="1501" w:type="pct"/>
            <w:shd w:val="clear" w:color="auto" w:fill="auto"/>
            <w:noWrap/>
            <w:vAlign w:val="center"/>
          </w:tcPr>
          <w:p w14:paraId="5C7BBDC9">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0.1540</w:t>
            </w:r>
          </w:p>
        </w:tc>
        <w:tc>
          <w:tcPr>
            <w:tcW w:w="1282" w:type="pct"/>
            <w:shd w:val="clear" w:color="auto" w:fill="auto"/>
            <w:noWrap/>
            <w:vAlign w:val="center"/>
          </w:tcPr>
          <w:p w14:paraId="3A856E55">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0.17</w:t>
            </w:r>
          </w:p>
        </w:tc>
      </w:tr>
      <w:tr w14:paraId="2FDE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noWrap/>
            <w:vAlign w:val="center"/>
          </w:tcPr>
          <w:p w14:paraId="5E62E73D">
            <w:pPr>
              <w:widowControl/>
              <w:spacing w:line="240" w:lineRule="auto"/>
              <w:ind w:firstLine="0" w:firstLineChars="0"/>
              <w:jc w:val="center"/>
              <w:rPr>
                <w:rFonts w:ascii="Times New Roman" w:hAnsi="Times New Roman"/>
                <w:color w:val="000000"/>
                <w:kern w:val="0"/>
                <w:sz w:val="24"/>
              </w:rPr>
            </w:pPr>
            <w:r>
              <w:rPr>
                <w:rFonts w:ascii="Times New Roman" w:hAnsi="Times New Roman"/>
                <w:color w:val="000000"/>
                <w:kern w:val="0"/>
                <w:sz w:val="24"/>
              </w:rPr>
              <w:t>小计</w:t>
            </w:r>
          </w:p>
        </w:tc>
        <w:tc>
          <w:tcPr>
            <w:tcW w:w="1501" w:type="pct"/>
            <w:shd w:val="clear" w:color="auto" w:fill="auto"/>
            <w:noWrap/>
            <w:vAlign w:val="center"/>
          </w:tcPr>
          <w:p w14:paraId="5D708A9B">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26.1191</w:t>
            </w:r>
          </w:p>
        </w:tc>
        <w:tc>
          <w:tcPr>
            <w:tcW w:w="1282" w:type="pct"/>
            <w:shd w:val="clear" w:color="auto" w:fill="auto"/>
            <w:noWrap/>
            <w:vAlign w:val="center"/>
          </w:tcPr>
          <w:p w14:paraId="77FA0991">
            <w:pPr>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28.52</w:t>
            </w:r>
          </w:p>
        </w:tc>
      </w:tr>
      <w:tr w14:paraId="6B03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17" w:type="pct"/>
            <w:shd w:val="clear" w:color="auto" w:fill="auto"/>
            <w:vAlign w:val="center"/>
          </w:tcPr>
          <w:p w14:paraId="4DAC459B">
            <w:pPr>
              <w:widowControl/>
              <w:spacing w:line="240" w:lineRule="auto"/>
              <w:ind w:firstLine="0" w:firstLineChars="0"/>
              <w:jc w:val="center"/>
              <w:rPr>
                <w:rFonts w:ascii="Times New Roman" w:hAnsi="Times New Roman"/>
                <w:b/>
                <w:bCs/>
                <w:color w:val="000000"/>
                <w:kern w:val="0"/>
                <w:sz w:val="24"/>
              </w:rPr>
            </w:pPr>
            <w:r>
              <w:rPr>
                <w:rFonts w:ascii="Times New Roman" w:hAnsi="Times New Roman"/>
                <w:b/>
                <w:bCs/>
                <w:color w:val="000000"/>
                <w:kern w:val="0"/>
                <w:sz w:val="24"/>
              </w:rPr>
              <w:t>合计</w:t>
            </w:r>
          </w:p>
        </w:tc>
        <w:tc>
          <w:tcPr>
            <w:tcW w:w="1501" w:type="pct"/>
            <w:shd w:val="clear" w:color="auto" w:fill="auto"/>
            <w:noWrap/>
            <w:vAlign w:val="center"/>
          </w:tcPr>
          <w:p w14:paraId="429497F5">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36.9597</w:t>
            </w:r>
          </w:p>
        </w:tc>
        <w:tc>
          <w:tcPr>
            <w:tcW w:w="1282" w:type="pct"/>
            <w:shd w:val="clear" w:color="auto" w:fill="auto"/>
            <w:noWrap/>
            <w:vAlign w:val="center"/>
          </w:tcPr>
          <w:p w14:paraId="1CCA7028">
            <w:pPr>
              <w:widowControl/>
              <w:spacing w:line="240" w:lineRule="auto"/>
              <w:ind w:firstLine="0" w:firstLineChars="0"/>
              <w:jc w:val="center"/>
              <w:rPr>
                <w:rFonts w:ascii="Times New Roman" w:hAnsi="Times New Roman" w:eastAsia="等线"/>
                <w:color w:val="000000"/>
                <w:kern w:val="0"/>
                <w:sz w:val="24"/>
              </w:rPr>
            </w:pPr>
            <w:r>
              <w:rPr>
                <w:rFonts w:ascii="Times New Roman" w:hAnsi="Times New Roman" w:eastAsia="等线"/>
                <w:color w:val="000000"/>
                <w:kern w:val="0"/>
                <w:sz w:val="24"/>
              </w:rPr>
              <w:t>40.36</w:t>
            </w:r>
          </w:p>
        </w:tc>
      </w:tr>
    </w:tbl>
    <w:p w14:paraId="07304FA5">
      <w:pPr>
        <w:ind w:firstLine="560"/>
        <w:rPr>
          <w:rFonts w:ascii="Times New Roman" w:hAnsi="Times New Roman"/>
        </w:rPr>
      </w:pPr>
    </w:p>
    <w:p w14:paraId="01A7D5F0">
      <w:pPr>
        <w:keepNext/>
        <w:ind w:firstLine="0" w:firstLineChars="0"/>
        <w:jc w:val="center"/>
        <w:rPr>
          <w:rFonts w:ascii="Times New Roman" w:hAnsi="Times New Roman"/>
        </w:rPr>
      </w:pPr>
      <w:r>
        <w:rPr>
          <w:rFonts w:ascii="Times New Roman" w:hAnsi="Times New Roman"/>
        </w:rPr>
        <w:drawing>
          <wp:inline distT="0" distB="0" distL="0" distR="0">
            <wp:extent cx="5274310" cy="5274310"/>
            <wp:effectExtent l="0" t="0" r="2540" b="2540"/>
            <wp:docPr id="5" name="图片 5" descr="E:\2025年工作\2.成片开发\6.青阳县新河镇十里岗片区土地征收成片开发方案（2025年调整）\图件\图件\公益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2025年工作\2.成片开发\6.青阳县新河镇十里岗片区土地征收成片开发方案（2025年调整）\图件\图件\公益性.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5274310" cy="5274310"/>
                    </a:xfrm>
                    <a:prstGeom prst="rect">
                      <a:avLst/>
                    </a:prstGeom>
                    <a:noFill/>
                    <a:ln>
                      <a:noFill/>
                    </a:ln>
                  </pic:spPr>
                </pic:pic>
              </a:graphicData>
            </a:graphic>
          </wp:inline>
        </w:drawing>
      </w:r>
    </w:p>
    <w:p w14:paraId="33DA9A7F">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23</w:t>
      </w:r>
      <w:r>
        <w:rPr>
          <w:rFonts w:ascii="Times New Roman" w:hAnsi="Times New Roman" w:eastAsia="黑体"/>
          <w:bCs/>
          <w:sz w:val="24"/>
        </w:rPr>
        <w:fldChar w:fldCharType="end"/>
      </w:r>
      <w:r>
        <w:rPr>
          <w:rFonts w:ascii="Times New Roman" w:hAnsi="Times New Roman" w:eastAsia="黑体"/>
          <w:bCs/>
          <w:sz w:val="24"/>
        </w:rPr>
        <w:t>新河镇十里岗片区公益性用地分布图</w:t>
      </w:r>
    </w:p>
    <w:p w14:paraId="18242BB1">
      <w:pPr>
        <w:pStyle w:val="2"/>
        <w:ind w:firstLine="602"/>
        <w:jc w:val="both"/>
        <w:rPr>
          <w:rFonts w:ascii="Times New Roman" w:hAnsi="Times New Roman" w:cs="Times New Roman"/>
        </w:rPr>
      </w:pPr>
      <w:bookmarkStart w:id="19" w:name="_Toc207347473"/>
      <w:r>
        <w:rPr>
          <w:rFonts w:ascii="Times New Roman" w:hAnsi="Times New Roman" w:cs="Times New Roman"/>
        </w:rPr>
        <w:t>成片开发的土地利用效益以及经济、社会、生态效益评估</w:t>
      </w:r>
      <w:bookmarkEnd w:id="19"/>
    </w:p>
    <w:p w14:paraId="5922A5C0">
      <w:pPr>
        <w:pStyle w:val="3"/>
        <w:ind w:firstLine="560"/>
        <w:rPr>
          <w:rFonts w:ascii="Times New Roman" w:hAnsi="Times New Roman"/>
        </w:rPr>
      </w:pPr>
      <w:bookmarkStart w:id="20" w:name="_Toc207347474"/>
      <w:r>
        <w:rPr>
          <w:rFonts w:ascii="Times New Roman" w:hAnsi="Times New Roman"/>
        </w:rPr>
        <w:t>土地利用效益</w:t>
      </w:r>
      <w:bookmarkEnd w:id="20"/>
    </w:p>
    <w:p w14:paraId="0874B5A9">
      <w:pPr>
        <w:ind w:firstLine="560"/>
        <w:rPr>
          <w:rFonts w:ascii="Times New Roman" w:hAnsi="Times New Roman"/>
        </w:rPr>
      </w:pPr>
      <w:r>
        <w:rPr>
          <w:rFonts w:ascii="Times New Roman" w:hAnsi="Times New Roman"/>
        </w:rPr>
        <w:t>本成片开发区域位于青阳县新河镇东部，是青阳县近期发展的重点区域，功能定位为：青阳县城东部产业新城区，青阳经开区两大辅园之一，以机械制造产业为主导的新型特色小镇和产业集群强镇。本片区开发将严格落实《青阳县新河镇XHCZDY-01单元详细规划》中确定的地块性质及使用强度等各项指标，并通过合理安排用地规模、结构和布局，优化土地利用空间格局，因地制宜配置基础设施、公共配套设施用地，提高现有用地使用效益促进土地集约、节约、高效发展。</w:t>
      </w:r>
    </w:p>
    <w:p w14:paraId="3B26AAB1">
      <w:pPr>
        <w:ind w:firstLine="560"/>
        <w:rPr>
          <w:rFonts w:ascii="Times New Roman" w:hAnsi="Times New Roman"/>
        </w:rPr>
      </w:pPr>
      <w:r>
        <w:rPr>
          <w:rFonts w:ascii="Times New Roman" w:hAnsi="Times New Roman"/>
        </w:rPr>
        <w:t>预计本片区的土地开发利用率将达到100.00%，综合容积率将达到0.8以上（其中新增工业项目用地容积率不少于1.4），建筑系数将达到30%左右。</w:t>
      </w:r>
    </w:p>
    <w:p w14:paraId="2AA33016">
      <w:pPr>
        <w:pStyle w:val="3"/>
        <w:ind w:firstLine="560"/>
        <w:rPr>
          <w:rFonts w:ascii="Times New Roman" w:hAnsi="Times New Roman"/>
        </w:rPr>
      </w:pPr>
      <w:bookmarkStart w:id="21" w:name="_Toc207347475"/>
      <w:r>
        <w:rPr>
          <w:rFonts w:ascii="Times New Roman" w:hAnsi="Times New Roman"/>
        </w:rPr>
        <w:t>成片开发的经济效益评估</w:t>
      </w:r>
      <w:bookmarkEnd w:id="21"/>
    </w:p>
    <w:p w14:paraId="3E8CBD65">
      <w:pPr>
        <w:ind w:firstLine="560"/>
        <w:rPr>
          <w:rFonts w:ascii="Times New Roman" w:hAnsi="Times New Roman"/>
        </w:rPr>
      </w:pPr>
      <w:r>
        <w:rPr>
          <w:rFonts w:ascii="Times New Roman" w:hAnsi="Times New Roman"/>
        </w:rPr>
        <w:t>片区建设范围内投资主要包括征地相关费用、部分居民点拆迁费用、市政道路、防护绿地等基础设施投入费用。</w:t>
      </w:r>
    </w:p>
    <w:p w14:paraId="0B5D2D87">
      <w:pPr>
        <w:ind w:firstLine="560"/>
        <w:rPr>
          <w:rFonts w:ascii="Times New Roman" w:hAnsi="Times New Roman"/>
        </w:rPr>
      </w:pPr>
      <w:r>
        <w:rPr>
          <w:rFonts w:ascii="Times New Roman" w:hAnsi="Times New Roman"/>
        </w:rPr>
        <w:t>拟征收及供应土地中非公益性用地（工业用地10.6735公顷），预计产生土地出让金收益约1601.025万元，新增固定资产投资约32020.5万元，年财政收入增加约3202.05万元。</w:t>
      </w:r>
    </w:p>
    <w:p w14:paraId="0976A3AF">
      <w:pPr>
        <w:ind w:firstLine="562"/>
        <w:rPr>
          <w:rFonts w:ascii="Times New Roman" w:hAnsi="Times New Roman"/>
          <w:b/>
        </w:rPr>
      </w:pPr>
      <w:r>
        <w:rPr>
          <w:rFonts w:ascii="Times New Roman" w:hAnsi="Times New Roman"/>
          <w:b/>
        </w:rPr>
        <w:t>（1）土地征收成本</w:t>
      </w:r>
    </w:p>
    <w:p w14:paraId="4BF3DCB4">
      <w:pPr>
        <w:ind w:firstLine="560"/>
        <w:rPr>
          <w:rFonts w:ascii="Times New Roman" w:hAnsi="Times New Roman"/>
        </w:rPr>
      </w:pPr>
      <w:r>
        <w:rPr>
          <w:rFonts w:ascii="Times New Roman" w:hAnsi="Times New Roman"/>
        </w:rPr>
        <w:t>片区需征收土地19.8425公顷，土地征收费用主要为土地征收安置补偿费，新增建设用地有偿使用费，耕地开垦费、耕地占用税、居民社会保障费等费用，为维护被征地农民和农村集体经济组织的合法权益，规范征地补偿程序，土地征收费用严格按照《安徽省人民政府关于公布全省征地区片综合地价标准的通知》（皖政</w:t>
      </w:r>
      <w:r>
        <w:rPr>
          <w:rFonts w:ascii="Times New Roman" w:hAnsi="Times New Roman" w:eastAsia="华文仿宋"/>
        </w:rPr>
        <w:t>〔2023〕62号</w:t>
      </w:r>
      <w:r>
        <w:rPr>
          <w:rFonts w:ascii="Times New Roman" w:hAnsi="Times New Roman"/>
        </w:rPr>
        <w:t>）、《池州市人民政府关于公布各县区被征收土地地上房屋青苗及其他附着物补偿标准的通知》（池政秘</w:t>
      </w:r>
      <w:r>
        <w:rPr>
          <w:rFonts w:ascii="Times New Roman" w:hAnsi="Times New Roman" w:eastAsia="华文仿宋"/>
        </w:rPr>
        <w:t>〔</w:t>
      </w:r>
      <w:r>
        <w:rPr>
          <w:rFonts w:ascii="Times New Roman" w:hAnsi="Times New Roman"/>
        </w:rPr>
        <w:t>2020</w:t>
      </w:r>
      <w:r>
        <w:rPr>
          <w:rFonts w:ascii="Times New Roman" w:hAnsi="Times New Roman" w:eastAsia="华文仿宋"/>
        </w:rPr>
        <w:t>〕</w:t>
      </w:r>
      <w:r>
        <w:rPr>
          <w:rFonts w:ascii="Times New Roman" w:hAnsi="Times New Roman"/>
        </w:rPr>
        <w:t>165</w:t>
      </w:r>
      <w:r>
        <w:rPr>
          <w:rFonts w:hint="eastAsia" w:ascii="Times New Roman" w:hAnsi="Times New Roman"/>
          <w:lang w:eastAsia="zh-CN"/>
        </w:rPr>
        <w:t>号</w:t>
      </w:r>
      <w:r>
        <w:rPr>
          <w:rFonts w:ascii="Times New Roman" w:hAnsi="Times New Roman"/>
        </w:rPr>
        <w:t>）等文件规定执行（若后期有新征收标准，按照新征收标准执行）。根据近年来新河镇土地征收实际情况，本片区范围内土地征收费用共计约1489.5801万元。</w:t>
      </w:r>
    </w:p>
    <w:p w14:paraId="79267B6F">
      <w:pPr>
        <w:pStyle w:val="5"/>
        <w:keepNext/>
        <w:ind w:firstLine="0" w:firstLineChars="0"/>
        <w:jc w:val="center"/>
        <w:rPr>
          <w:rFonts w:ascii="Times New Roman" w:hAnsi="Times New Roman"/>
          <w:sz w:val="24"/>
          <w:szCs w:val="24"/>
        </w:rPr>
      </w:pPr>
      <w:r>
        <w:rPr>
          <w:rFonts w:ascii="Times New Roman" w:hAnsi="Times New Roman"/>
          <w:sz w:val="24"/>
          <w:szCs w:val="24"/>
        </w:rPr>
        <w:t xml:space="preserve">表 </w:t>
      </w:r>
      <w:r>
        <w:rPr>
          <w:rFonts w:ascii="Times New Roman" w:hAnsi="Times New Roman"/>
          <w:sz w:val="24"/>
          <w:szCs w:val="24"/>
        </w:rPr>
        <w:fldChar w:fldCharType="begin"/>
      </w:r>
      <w:r>
        <w:rPr>
          <w:rFonts w:ascii="Times New Roman" w:hAnsi="Times New Roman"/>
          <w:sz w:val="24"/>
          <w:szCs w:val="24"/>
        </w:rPr>
        <w:instrText xml:space="preserve"> SEQ 表 \* ARABIC </w:instrText>
      </w:r>
      <w:r>
        <w:rPr>
          <w:rFonts w:ascii="Times New Roman" w:hAnsi="Times New Roman"/>
          <w:sz w:val="24"/>
          <w:szCs w:val="24"/>
        </w:rPr>
        <w:fldChar w:fldCharType="separate"/>
      </w:r>
      <w:r>
        <w:rPr>
          <w:rFonts w:ascii="Times New Roman" w:hAnsi="Times New Roman"/>
          <w:sz w:val="24"/>
          <w:szCs w:val="24"/>
        </w:rPr>
        <w:t>4</w:t>
      </w:r>
      <w:r>
        <w:rPr>
          <w:rFonts w:ascii="Times New Roman" w:hAnsi="Times New Roman"/>
          <w:sz w:val="24"/>
          <w:szCs w:val="24"/>
        </w:rPr>
        <w:fldChar w:fldCharType="end"/>
      </w:r>
      <w:r>
        <w:rPr>
          <w:rFonts w:ascii="Times New Roman" w:hAnsi="Times New Roman"/>
          <w:sz w:val="24"/>
          <w:szCs w:val="24"/>
        </w:rPr>
        <w:t xml:space="preserve"> 开发片区土地征收成本测算表</w:t>
      </w:r>
    </w:p>
    <w:p w14:paraId="01F1CFE7">
      <w:pPr>
        <w:keepNext/>
        <w:adjustRightInd w:val="0"/>
        <w:snapToGrid w:val="0"/>
        <w:spacing w:line="240" w:lineRule="auto"/>
        <w:ind w:firstLine="440"/>
        <w:jc w:val="right"/>
        <w:rPr>
          <w:rFonts w:ascii="Times New Roman" w:hAnsi="Times New Roman"/>
          <w:sz w:val="22"/>
        </w:rPr>
      </w:pPr>
      <w:r>
        <w:rPr>
          <w:rFonts w:ascii="Times New Roman" w:hAnsi="Times New Roman"/>
          <w:sz w:val="22"/>
        </w:rPr>
        <w:t>单位：万元/亩、万元</w:t>
      </w: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4"/>
        <w:gridCol w:w="1704"/>
        <w:gridCol w:w="1704"/>
        <w:gridCol w:w="1705"/>
        <w:gridCol w:w="1705"/>
      </w:tblGrid>
      <w:tr w14:paraId="424D7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704" w:type="dxa"/>
            <w:vMerge w:val="restart"/>
            <w:vAlign w:val="center"/>
          </w:tcPr>
          <w:p w14:paraId="0445091C">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地类</w:t>
            </w:r>
          </w:p>
        </w:tc>
        <w:tc>
          <w:tcPr>
            <w:tcW w:w="3408" w:type="dxa"/>
            <w:gridSpan w:val="2"/>
            <w:vAlign w:val="center"/>
          </w:tcPr>
          <w:p w14:paraId="03FEB5EE">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拟征收土地</w:t>
            </w:r>
          </w:p>
        </w:tc>
        <w:tc>
          <w:tcPr>
            <w:tcW w:w="1705" w:type="dxa"/>
            <w:vMerge w:val="restart"/>
            <w:vAlign w:val="center"/>
          </w:tcPr>
          <w:p w14:paraId="0C81BEA6">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亩均费用</w:t>
            </w:r>
          </w:p>
        </w:tc>
        <w:tc>
          <w:tcPr>
            <w:tcW w:w="1705" w:type="dxa"/>
            <w:vMerge w:val="restart"/>
            <w:vAlign w:val="center"/>
          </w:tcPr>
          <w:p w14:paraId="3FB7B43A">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土地征收成本</w:t>
            </w:r>
          </w:p>
        </w:tc>
      </w:tr>
      <w:tr w14:paraId="23F98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704" w:type="dxa"/>
            <w:vMerge w:val="continue"/>
            <w:vAlign w:val="center"/>
          </w:tcPr>
          <w:p w14:paraId="333AFBAB">
            <w:pPr>
              <w:keepNext/>
              <w:adjustRightInd w:val="0"/>
              <w:snapToGrid w:val="0"/>
              <w:spacing w:line="240" w:lineRule="auto"/>
              <w:ind w:firstLine="0" w:firstLineChars="0"/>
              <w:jc w:val="center"/>
              <w:rPr>
                <w:rFonts w:ascii="Times New Roman" w:hAnsi="Times New Roman"/>
                <w:b/>
                <w:sz w:val="22"/>
              </w:rPr>
            </w:pPr>
          </w:p>
        </w:tc>
        <w:tc>
          <w:tcPr>
            <w:tcW w:w="1704" w:type="dxa"/>
            <w:vAlign w:val="center"/>
          </w:tcPr>
          <w:p w14:paraId="7EA95972">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公顷</w:t>
            </w:r>
          </w:p>
        </w:tc>
        <w:tc>
          <w:tcPr>
            <w:tcW w:w="1704" w:type="dxa"/>
            <w:vAlign w:val="center"/>
          </w:tcPr>
          <w:p w14:paraId="1DFD9017">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亩</w:t>
            </w:r>
          </w:p>
        </w:tc>
        <w:tc>
          <w:tcPr>
            <w:tcW w:w="1705" w:type="dxa"/>
            <w:vMerge w:val="continue"/>
            <w:vAlign w:val="center"/>
          </w:tcPr>
          <w:p w14:paraId="60E173A9">
            <w:pPr>
              <w:keepNext/>
              <w:adjustRightInd w:val="0"/>
              <w:snapToGrid w:val="0"/>
              <w:spacing w:line="240" w:lineRule="auto"/>
              <w:ind w:firstLine="0" w:firstLineChars="0"/>
              <w:jc w:val="center"/>
              <w:rPr>
                <w:rFonts w:ascii="Times New Roman" w:hAnsi="Times New Roman"/>
                <w:sz w:val="22"/>
              </w:rPr>
            </w:pPr>
          </w:p>
        </w:tc>
        <w:tc>
          <w:tcPr>
            <w:tcW w:w="1705" w:type="dxa"/>
            <w:vMerge w:val="continue"/>
            <w:vAlign w:val="center"/>
          </w:tcPr>
          <w:p w14:paraId="090CECD0">
            <w:pPr>
              <w:keepNext/>
              <w:adjustRightInd w:val="0"/>
              <w:snapToGrid w:val="0"/>
              <w:spacing w:line="240" w:lineRule="auto"/>
              <w:ind w:firstLine="0" w:firstLineChars="0"/>
              <w:jc w:val="center"/>
              <w:rPr>
                <w:rFonts w:ascii="Times New Roman" w:hAnsi="Times New Roman"/>
                <w:sz w:val="22"/>
              </w:rPr>
            </w:pPr>
          </w:p>
        </w:tc>
      </w:tr>
      <w:tr w14:paraId="26FE5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04" w:type="dxa"/>
            <w:vAlign w:val="center"/>
          </w:tcPr>
          <w:p w14:paraId="4750737E">
            <w:pPr>
              <w:keepNext/>
              <w:adjustRightInd w:val="0"/>
              <w:snapToGrid w:val="0"/>
              <w:spacing w:line="240" w:lineRule="auto"/>
              <w:ind w:firstLine="0" w:firstLineChars="0"/>
              <w:jc w:val="center"/>
              <w:rPr>
                <w:rFonts w:ascii="Times New Roman" w:hAnsi="Times New Roman"/>
                <w:sz w:val="22"/>
              </w:rPr>
            </w:pPr>
            <w:r>
              <w:rPr>
                <w:rFonts w:ascii="Times New Roman" w:hAnsi="Times New Roman"/>
                <w:sz w:val="22"/>
              </w:rPr>
              <w:t>农用地</w:t>
            </w:r>
          </w:p>
        </w:tc>
        <w:tc>
          <w:tcPr>
            <w:tcW w:w="1704" w:type="dxa"/>
            <w:vAlign w:val="center"/>
          </w:tcPr>
          <w:p w14:paraId="33693CC2">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10.5585</w:t>
            </w:r>
          </w:p>
        </w:tc>
        <w:tc>
          <w:tcPr>
            <w:tcW w:w="1704" w:type="dxa"/>
            <w:vAlign w:val="center"/>
          </w:tcPr>
          <w:p w14:paraId="40B25782">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158.3775</w:t>
            </w:r>
          </w:p>
        </w:tc>
        <w:tc>
          <w:tcPr>
            <w:tcW w:w="1705" w:type="dxa"/>
            <w:vAlign w:val="center"/>
          </w:tcPr>
          <w:p w14:paraId="418ACD29">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5.00</w:t>
            </w:r>
          </w:p>
        </w:tc>
        <w:tc>
          <w:tcPr>
            <w:tcW w:w="1705" w:type="dxa"/>
            <w:vAlign w:val="center"/>
          </w:tcPr>
          <w:p w14:paraId="68B0091F">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791.8875</w:t>
            </w:r>
          </w:p>
        </w:tc>
      </w:tr>
      <w:tr w14:paraId="79FA7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04" w:type="dxa"/>
            <w:vAlign w:val="center"/>
          </w:tcPr>
          <w:p w14:paraId="3A90D024">
            <w:pPr>
              <w:keepNext/>
              <w:adjustRightInd w:val="0"/>
              <w:snapToGrid w:val="0"/>
              <w:spacing w:line="240" w:lineRule="auto"/>
              <w:ind w:firstLine="0" w:firstLineChars="0"/>
              <w:jc w:val="center"/>
              <w:rPr>
                <w:rFonts w:ascii="Times New Roman" w:hAnsi="Times New Roman"/>
                <w:sz w:val="22"/>
              </w:rPr>
            </w:pPr>
            <w:r>
              <w:rPr>
                <w:rFonts w:ascii="Times New Roman" w:hAnsi="Times New Roman"/>
                <w:sz w:val="22"/>
              </w:rPr>
              <w:t>建设用地</w:t>
            </w:r>
          </w:p>
        </w:tc>
        <w:tc>
          <w:tcPr>
            <w:tcW w:w="1704" w:type="dxa"/>
            <w:vAlign w:val="center"/>
          </w:tcPr>
          <w:p w14:paraId="392876F4">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9.2840</w:t>
            </w:r>
          </w:p>
        </w:tc>
        <w:tc>
          <w:tcPr>
            <w:tcW w:w="1704" w:type="dxa"/>
            <w:vAlign w:val="center"/>
          </w:tcPr>
          <w:p w14:paraId="22721737">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139.26</w:t>
            </w:r>
          </w:p>
        </w:tc>
        <w:tc>
          <w:tcPr>
            <w:tcW w:w="1705" w:type="dxa"/>
            <w:vAlign w:val="center"/>
          </w:tcPr>
          <w:p w14:paraId="15EA4EAF">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5.01</w:t>
            </w:r>
          </w:p>
        </w:tc>
        <w:tc>
          <w:tcPr>
            <w:tcW w:w="1705" w:type="dxa"/>
            <w:vAlign w:val="center"/>
          </w:tcPr>
          <w:p w14:paraId="6EA9293A">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697.6926</w:t>
            </w:r>
          </w:p>
        </w:tc>
      </w:tr>
      <w:tr w14:paraId="3762E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04" w:type="dxa"/>
            <w:vAlign w:val="center"/>
          </w:tcPr>
          <w:p w14:paraId="7548B414">
            <w:pPr>
              <w:keepNext/>
              <w:adjustRightInd w:val="0"/>
              <w:snapToGrid w:val="0"/>
              <w:spacing w:line="240" w:lineRule="auto"/>
              <w:ind w:firstLine="0" w:firstLineChars="0"/>
              <w:jc w:val="center"/>
              <w:rPr>
                <w:rFonts w:ascii="Times New Roman" w:hAnsi="Times New Roman"/>
                <w:sz w:val="22"/>
              </w:rPr>
            </w:pPr>
            <w:r>
              <w:rPr>
                <w:rFonts w:ascii="Times New Roman" w:hAnsi="Times New Roman"/>
                <w:sz w:val="22"/>
              </w:rPr>
              <w:t>未利用地</w:t>
            </w:r>
          </w:p>
        </w:tc>
        <w:tc>
          <w:tcPr>
            <w:tcW w:w="1704" w:type="dxa"/>
            <w:vAlign w:val="center"/>
          </w:tcPr>
          <w:p w14:paraId="1F7C7640">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0</w:t>
            </w:r>
          </w:p>
        </w:tc>
        <w:tc>
          <w:tcPr>
            <w:tcW w:w="1704" w:type="dxa"/>
            <w:vAlign w:val="center"/>
          </w:tcPr>
          <w:p w14:paraId="548A2ABF">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0</w:t>
            </w:r>
          </w:p>
        </w:tc>
        <w:tc>
          <w:tcPr>
            <w:tcW w:w="1705" w:type="dxa"/>
            <w:vAlign w:val="center"/>
          </w:tcPr>
          <w:p w14:paraId="4D25C776">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5.00</w:t>
            </w:r>
          </w:p>
        </w:tc>
        <w:tc>
          <w:tcPr>
            <w:tcW w:w="1705" w:type="dxa"/>
            <w:vAlign w:val="center"/>
          </w:tcPr>
          <w:p w14:paraId="651302EA">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0</w:t>
            </w:r>
          </w:p>
        </w:tc>
      </w:tr>
      <w:tr w14:paraId="17525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04" w:type="dxa"/>
            <w:vAlign w:val="center"/>
          </w:tcPr>
          <w:p w14:paraId="4539E52A">
            <w:pPr>
              <w:keepNext/>
              <w:adjustRightInd w:val="0"/>
              <w:snapToGrid w:val="0"/>
              <w:spacing w:line="240" w:lineRule="auto"/>
              <w:ind w:firstLine="0" w:firstLineChars="0"/>
              <w:jc w:val="center"/>
              <w:rPr>
                <w:rFonts w:ascii="Times New Roman" w:hAnsi="Times New Roman"/>
                <w:sz w:val="22"/>
              </w:rPr>
            </w:pPr>
            <w:r>
              <w:rPr>
                <w:rFonts w:ascii="Times New Roman" w:hAnsi="Times New Roman"/>
                <w:sz w:val="22"/>
              </w:rPr>
              <w:t>共计</w:t>
            </w:r>
          </w:p>
        </w:tc>
        <w:tc>
          <w:tcPr>
            <w:tcW w:w="1704" w:type="dxa"/>
            <w:vAlign w:val="center"/>
          </w:tcPr>
          <w:p w14:paraId="5AFC47CB">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19.8425</w:t>
            </w:r>
          </w:p>
        </w:tc>
        <w:tc>
          <w:tcPr>
            <w:tcW w:w="1704" w:type="dxa"/>
            <w:vAlign w:val="center"/>
          </w:tcPr>
          <w:p w14:paraId="4C9CF470">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297.6375</w:t>
            </w:r>
          </w:p>
        </w:tc>
        <w:tc>
          <w:tcPr>
            <w:tcW w:w="1705" w:type="dxa"/>
            <w:vAlign w:val="center"/>
          </w:tcPr>
          <w:p w14:paraId="16EBC55E">
            <w:pPr>
              <w:keepNext/>
              <w:adjustRightInd w:val="0"/>
              <w:snapToGrid w:val="0"/>
              <w:spacing w:line="240" w:lineRule="auto"/>
              <w:ind w:firstLine="0" w:firstLineChars="0"/>
              <w:jc w:val="center"/>
              <w:rPr>
                <w:rFonts w:ascii="Times New Roman" w:hAnsi="Times New Roman"/>
                <w:color w:val="000000"/>
                <w:sz w:val="22"/>
                <w:szCs w:val="22"/>
              </w:rPr>
            </w:pPr>
          </w:p>
        </w:tc>
        <w:tc>
          <w:tcPr>
            <w:tcW w:w="1705" w:type="dxa"/>
            <w:vAlign w:val="center"/>
          </w:tcPr>
          <w:p w14:paraId="58849864">
            <w:pPr>
              <w:keepNext/>
              <w:adjustRightInd w:val="0"/>
              <w:snapToGrid w:val="0"/>
              <w:spacing w:line="240" w:lineRule="auto"/>
              <w:ind w:firstLine="0" w:firstLineChars="0"/>
              <w:jc w:val="center"/>
              <w:rPr>
                <w:rFonts w:ascii="Times New Roman" w:hAnsi="Times New Roman"/>
                <w:color w:val="000000"/>
                <w:sz w:val="22"/>
                <w:szCs w:val="22"/>
              </w:rPr>
            </w:pPr>
            <w:r>
              <w:rPr>
                <w:rFonts w:ascii="Times New Roman" w:hAnsi="Times New Roman"/>
                <w:color w:val="000000"/>
                <w:sz w:val="22"/>
                <w:szCs w:val="22"/>
              </w:rPr>
              <w:t>1489.5801</w:t>
            </w:r>
          </w:p>
        </w:tc>
      </w:tr>
    </w:tbl>
    <w:p w14:paraId="78B079BB">
      <w:pPr>
        <w:ind w:firstLine="562"/>
        <w:rPr>
          <w:rFonts w:ascii="Times New Roman" w:hAnsi="Times New Roman"/>
          <w:b/>
        </w:rPr>
      </w:pPr>
      <w:r>
        <w:rPr>
          <w:rFonts w:ascii="Times New Roman" w:hAnsi="Times New Roman"/>
          <w:b/>
        </w:rPr>
        <w:t>（2）土地出让金收益</w:t>
      </w:r>
    </w:p>
    <w:p w14:paraId="35E79CC8">
      <w:pPr>
        <w:ind w:firstLine="560"/>
        <w:rPr>
          <w:rFonts w:ascii="Times New Roman" w:hAnsi="Times New Roman"/>
        </w:rPr>
      </w:pPr>
      <w:r>
        <w:rPr>
          <w:rFonts w:ascii="Times New Roman" w:hAnsi="Times New Roman"/>
        </w:rPr>
        <w:t>片区新增工业用地10.6735公顷，按照工业用地10万元/亩的基准地价标准，可产生土地出让金收益1601.025万元。</w:t>
      </w:r>
    </w:p>
    <w:p w14:paraId="29471B6A">
      <w:pPr>
        <w:pStyle w:val="5"/>
        <w:keepNext/>
        <w:ind w:firstLine="0" w:firstLineChars="0"/>
        <w:jc w:val="center"/>
        <w:rPr>
          <w:rFonts w:ascii="Times New Roman" w:hAnsi="Times New Roman"/>
          <w:sz w:val="24"/>
          <w:szCs w:val="24"/>
        </w:rPr>
      </w:pPr>
      <w:r>
        <w:rPr>
          <w:rFonts w:ascii="Times New Roman" w:hAnsi="Times New Roman"/>
          <w:sz w:val="24"/>
          <w:szCs w:val="24"/>
        </w:rPr>
        <w:t xml:space="preserve">表 </w:t>
      </w:r>
      <w:r>
        <w:rPr>
          <w:rFonts w:ascii="Times New Roman" w:hAnsi="Times New Roman"/>
          <w:sz w:val="24"/>
          <w:szCs w:val="24"/>
        </w:rPr>
        <w:fldChar w:fldCharType="begin"/>
      </w:r>
      <w:r>
        <w:rPr>
          <w:rFonts w:ascii="Times New Roman" w:hAnsi="Times New Roman"/>
          <w:sz w:val="24"/>
          <w:szCs w:val="24"/>
        </w:rPr>
        <w:instrText xml:space="preserve"> SEQ 表 \* ARABIC </w:instrText>
      </w:r>
      <w:r>
        <w:rPr>
          <w:rFonts w:ascii="Times New Roman" w:hAnsi="Times New Roman"/>
          <w:sz w:val="24"/>
          <w:szCs w:val="24"/>
        </w:rPr>
        <w:fldChar w:fldCharType="separate"/>
      </w:r>
      <w:r>
        <w:rPr>
          <w:rFonts w:ascii="Times New Roman" w:hAnsi="Times New Roman"/>
          <w:sz w:val="24"/>
          <w:szCs w:val="24"/>
        </w:rPr>
        <w:t>5</w:t>
      </w:r>
      <w:r>
        <w:rPr>
          <w:rFonts w:ascii="Times New Roman" w:hAnsi="Times New Roman"/>
          <w:sz w:val="24"/>
          <w:szCs w:val="24"/>
        </w:rPr>
        <w:fldChar w:fldCharType="end"/>
      </w:r>
      <w:r>
        <w:rPr>
          <w:rFonts w:ascii="Times New Roman" w:hAnsi="Times New Roman"/>
          <w:sz w:val="24"/>
          <w:szCs w:val="24"/>
        </w:rPr>
        <w:t xml:space="preserve"> 开发片区土地出让金测算表</w:t>
      </w:r>
    </w:p>
    <w:p w14:paraId="1BF3D9AB">
      <w:pPr>
        <w:keepNext/>
        <w:adjustRightInd w:val="0"/>
        <w:snapToGrid w:val="0"/>
        <w:spacing w:line="240" w:lineRule="auto"/>
        <w:ind w:firstLine="440"/>
        <w:jc w:val="right"/>
        <w:rPr>
          <w:rFonts w:ascii="Times New Roman" w:hAnsi="Times New Roman"/>
        </w:rPr>
      </w:pPr>
      <w:r>
        <w:rPr>
          <w:rFonts w:ascii="Times New Roman" w:hAnsi="Times New Roman"/>
          <w:sz w:val="22"/>
        </w:rPr>
        <w:t>单位：万元/亩、万元</w:t>
      </w:r>
    </w:p>
    <w:tbl>
      <w:tblPr>
        <w:tblStyle w:val="1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30"/>
        <w:gridCol w:w="1527"/>
        <w:gridCol w:w="1527"/>
        <w:gridCol w:w="1507"/>
        <w:gridCol w:w="1831"/>
      </w:tblGrid>
      <w:tr w14:paraId="3858C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50" w:type="pct"/>
            <w:vMerge w:val="restart"/>
            <w:vAlign w:val="center"/>
          </w:tcPr>
          <w:p w14:paraId="506FD610">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用地类型</w:t>
            </w:r>
          </w:p>
        </w:tc>
        <w:tc>
          <w:tcPr>
            <w:tcW w:w="1792" w:type="pct"/>
            <w:gridSpan w:val="2"/>
            <w:vAlign w:val="center"/>
          </w:tcPr>
          <w:p w14:paraId="48393C43">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拟征收土地</w:t>
            </w:r>
          </w:p>
        </w:tc>
        <w:tc>
          <w:tcPr>
            <w:tcW w:w="884" w:type="pct"/>
            <w:vMerge w:val="restart"/>
            <w:vAlign w:val="center"/>
          </w:tcPr>
          <w:p w14:paraId="05B8ACEF">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费用</w:t>
            </w:r>
          </w:p>
        </w:tc>
        <w:tc>
          <w:tcPr>
            <w:tcW w:w="1074" w:type="pct"/>
            <w:vMerge w:val="restart"/>
            <w:vAlign w:val="center"/>
          </w:tcPr>
          <w:p w14:paraId="76FCF237">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土地出让金</w:t>
            </w:r>
          </w:p>
        </w:tc>
      </w:tr>
      <w:tr w14:paraId="6AEB4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50" w:type="pct"/>
            <w:vMerge w:val="continue"/>
            <w:vAlign w:val="center"/>
          </w:tcPr>
          <w:p w14:paraId="5E763AAC">
            <w:pPr>
              <w:adjustRightInd w:val="0"/>
              <w:snapToGrid w:val="0"/>
              <w:spacing w:line="240" w:lineRule="auto"/>
              <w:ind w:firstLine="0" w:firstLineChars="0"/>
              <w:jc w:val="center"/>
              <w:rPr>
                <w:rFonts w:ascii="Times New Roman" w:hAnsi="Times New Roman"/>
                <w:b/>
                <w:sz w:val="22"/>
              </w:rPr>
            </w:pPr>
          </w:p>
        </w:tc>
        <w:tc>
          <w:tcPr>
            <w:tcW w:w="896" w:type="pct"/>
            <w:vAlign w:val="center"/>
          </w:tcPr>
          <w:p w14:paraId="2BD211E8">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公顷</w:t>
            </w:r>
          </w:p>
        </w:tc>
        <w:tc>
          <w:tcPr>
            <w:tcW w:w="896" w:type="pct"/>
            <w:vAlign w:val="center"/>
          </w:tcPr>
          <w:p w14:paraId="6885B9E9">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亩</w:t>
            </w:r>
          </w:p>
        </w:tc>
        <w:tc>
          <w:tcPr>
            <w:tcW w:w="884" w:type="pct"/>
            <w:vMerge w:val="continue"/>
            <w:vAlign w:val="center"/>
          </w:tcPr>
          <w:p w14:paraId="0D6E2CC3">
            <w:pPr>
              <w:adjustRightInd w:val="0"/>
              <w:snapToGrid w:val="0"/>
              <w:spacing w:line="240" w:lineRule="auto"/>
              <w:ind w:firstLine="0" w:firstLineChars="0"/>
              <w:jc w:val="center"/>
              <w:rPr>
                <w:rFonts w:ascii="Times New Roman" w:hAnsi="Times New Roman"/>
                <w:b/>
                <w:sz w:val="22"/>
              </w:rPr>
            </w:pPr>
          </w:p>
        </w:tc>
        <w:tc>
          <w:tcPr>
            <w:tcW w:w="1074" w:type="pct"/>
            <w:vMerge w:val="continue"/>
            <w:vAlign w:val="center"/>
          </w:tcPr>
          <w:p w14:paraId="33EE4626">
            <w:pPr>
              <w:adjustRightInd w:val="0"/>
              <w:snapToGrid w:val="0"/>
              <w:spacing w:line="240" w:lineRule="auto"/>
              <w:ind w:firstLine="0" w:firstLineChars="0"/>
              <w:jc w:val="center"/>
              <w:rPr>
                <w:rFonts w:ascii="Times New Roman" w:hAnsi="Times New Roman"/>
                <w:b/>
                <w:sz w:val="22"/>
              </w:rPr>
            </w:pPr>
          </w:p>
        </w:tc>
      </w:tr>
      <w:tr w14:paraId="1242B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250" w:type="pct"/>
            <w:vAlign w:val="center"/>
          </w:tcPr>
          <w:p w14:paraId="685737F7">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工业用地</w:t>
            </w:r>
          </w:p>
        </w:tc>
        <w:tc>
          <w:tcPr>
            <w:tcW w:w="896" w:type="pct"/>
            <w:vAlign w:val="center"/>
          </w:tcPr>
          <w:p w14:paraId="20C26C28">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10.6735</w:t>
            </w:r>
          </w:p>
        </w:tc>
        <w:tc>
          <w:tcPr>
            <w:tcW w:w="896" w:type="pct"/>
            <w:vAlign w:val="center"/>
          </w:tcPr>
          <w:p w14:paraId="358816B2">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160.1025</w:t>
            </w:r>
          </w:p>
        </w:tc>
        <w:tc>
          <w:tcPr>
            <w:tcW w:w="884" w:type="pct"/>
            <w:vAlign w:val="center"/>
          </w:tcPr>
          <w:p w14:paraId="31129482">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10</w:t>
            </w:r>
          </w:p>
        </w:tc>
        <w:tc>
          <w:tcPr>
            <w:tcW w:w="1074" w:type="pct"/>
            <w:vAlign w:val="center"/>
          </w:tcPr>
          <w:p w14:paraId="7C0D8BDF">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1601.025</w:t>
            </w:r>
          </w:p>
        </w:tc>
      </w:tr>
    </w:tbl>
    <w:p w14:paraId="4BF3AFD6">
      <w:pPr>
        <w:ind w:firstLine="562"/>
        <w:rPr>
          <w:rFonts w:ascii="Times New Roman" w:hAnsi="Times New Roman"/>
          <w:b/>
        </w:rPr>
      </w:pPr>
      <w:r>
        <w:rPr>
          <w:rFonts w:ascii="Times New Roman" w:hAnsi="Times New Roman"/>
          <w:b/>
        </w:rPr>
        <w:t>（3）新建商业项目固定资产投资</w:t>
      </w:r>
    </w:p>
    <w:p w14:paraId="2DEA6539">
      <w:pPr>
        <w:ind w:firstLine="560"/>
        <w:rPr>
          <w:rFonts w:ascii="Times New Roman" w:hAnsi="Times New Roman"/>
        </w:rPr>
      </w:pPr>
      <w:r>
        <w:rPr>
          <w:rFonts w:ascii="Times New Roman" w:hAnsi="Times New Roman"/>
        </w:rPr>
        <w:t>根据《安徽省人民政府关于进一步强化土地节约集约利用工作的意见》（皖政</w:t>
      </w:r>
      <w:r>
        <w:rPr>
          <w:rFonts w:ascii="Times New Roman" w:hAnsi="Times New Roman" w:eastAsia="华文仿宋"/>
        </w:rPr>
        <w:t>〔</w:t>
      </w:r>
      <w:r>
        <w:rPr>
          <w:rFonts w:ascii="Times New Roman" w:hAnsi="Times New Roman"/>
        </w:rPr>
        <w:t>2013</w:t>
      </w:r>
      <w:r>
        <w:rPr>
          <w:rFonts w:ascii="Times New Roman" w:hAnsi="Times New Roman" w:eastAsia="华文仿宋"/>
        </w:rPr>
        <w:t>〕58号</w:t>
      </w:r>
      <w:r>
        <w:rPr>
          <w:rFonts w:ascii="Times New Roman" w:hAnsi="Times New Roman"/>
        </w:rPr>
        <w:t>）、《池州市提升工业用地容积率进一步推进节约集约用地实施方案的通知》（池政办秘〔2023〕92 号），市管省级开发区新建项目土地投资强度一般不低于200万元/亩。片区新增工业用地10.6735公顷，预计新增固定资产投资约32020.5万元。</w:t>
      </w:r>
    </w:p>
    <w:p w14:paraId="7FBCF0DA">
      <w:pPr>
        <w:pStyle w:val="5"/>
        <w:keepNext/>
        <w:ind w:firstLine="0" w:firstLineChars="0"/>
        <w:jc w:val="center"/>
        <w:rPr>
          <w:rFonts w:ascii="Times New Roman" w:hAnsi="Times New Roman"/>
          <w:sz w:val="24"/>
          <w:szCs w:val="24"/>
        </w:rPr>
      </w:pPr>
      <w:r>
        <w:rPr>
          <w:rFonts w:ascii="Times New Roman" w:hAnsi="Times New Roman"/>
          <w:sz w:val="24"/>
          <w:szCs w:val="24"/>
        </w:rPr>
        <w:t xml:space="preserve">表 </w:t>
      </w:r>
      <w:r>
        <w:rPr>
          <w:rFonts w:ascii="Times New Roman" w:hAnsi="Times New Roman"/>
          <w:sz w:val="24"/>
          <w:szCs w:val="24"/>
        </w:rPr>
        <w:fldChar w:fldCharType="begin"/>
      </w:r>
      <w:r>
        <w:rPr>
          <w:rFonts w:ascii="Times New Roman" w:hAnsi="Times New Roman"/>
          <w:sz w:val="24"/>
          <w:szCs w:val="24"/>
        </w:rPr>
        <w:instrText xml:space="preserve"> SEQ 表 \* ARABIC </w:instrText>
      </w:r>
      <w:r>
        <w:rPr>
          <w:rFonts w:ascii="Times New Roman" w:hAnsi="Times New Roman"/>
          <w:sz w:val="24"/>
          <w:szCs w:val="24"/>
        </w:rPr>
        <w:fldChar w:fldCharType="separate"/>
      </w:r>
      <w:r>
        <w:rPr>
          <w:rFonts w:ascii="Times New Roman" w:hAnsi="Times New Roman"/>
          <w:sz w:val="24"/>
          <w:szCs w:val="24"/>
        </w:rPr>
        <w:t>6</w:t>
      </w:r>
      <w:r>
        <w:rPr>
          <w:rFonts w:ascii="Times New Roman" w:hAnsi="Times New Roman"/>
          <w:sz w:val="24"/>
          <w:szCs w:val="24"/>
        </w:rPr>
        <w:fldChar w:fldCharType="end"/>
      </w:r>
      <w:r>
        <w:rPr>
          <w:rFonts w:ascii="Times New Roman" w:hAnsi="Times New Roman"/>
          <w:sz w:val="24"/>
          <w:szCs w:val="24"/>
        </w:rPr>
        <w:t xml:space="preserve"> 开发片区固定资产投资测算表</w:t>
      </w:r>
    </w:p>
    <w:p w14:paraId="454C2EE9">
      <w:pPr>
        <w:keepNext/>
        <w:adjustRightInd w:val="0"/>
        <w:snapToGrid w:val="0"/>
        <w:spacing w:line="240" w:lineRule="auto"/>
        <w:ind w:firstLine="440"/>
        <w:jc w:val="right"/>
        <w:rPr>
          <w:rFonts w:ascii="Times New Roman" w:hAnsi="Times New Roman"/>
        </w:rPr>
      </w:pPr>
      <w:r>
        <w:rPr>
          <w:rFonts w:ascii="Times New Roman" w:hAnsi="Times New Roman"/>
          <w:sz w:val="22"/>
        </w:rPr>
        <w:t>单位：万元/亩、万元</w:t>
      </w:r>
    </w:p>
    <w:tbl>
      <w:tblPr>
        <w:tblStyle w:val="1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40"/>
        <w:gridCol w:w="1587"/>
        <w:gridCol w:w="1558"/>
        <w:gridCol w:w="1560"/>
        <w:gridCol w:w="2177"/>
      </w:tblGrid>
      <w:tr w14:paraId="77E94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62" w:type="pct"/>
            <w:vMerge w:val="restart"/>
            <w:vAlign w:val="center"/>
          </w:tcPr>
          <w:p w14:paraId="13E48888">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用地类型</w:t>
            </w:r>
          </w:p>
        </w:tc>
        <w:tc>
          <w:tcPr>
            <w:tcW w:w="1845" w:type="pct"/>
            <w:gridSpan w:val="2"/>
            <w:vAlign w:val="center"/>
          </w:tcPr>
          <w:p w14:paraId="0C6371D6">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拟征收土地</w:t>
            </w:r>
          </w:p>
        </w:tc>
        <w:tc>
          <w:tcPr>
            <w:tcW w:w="915" w:type="pct"/>
            <w:vMerge w:val="restart"/>
            <w:vAlign w:val="center"/>
          </w:tcPr>
          <w:p w14:paraId="72514BDC">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亩均费用</w:t>
            </w:r>
          </w:p>
        </w:tc>
        <w:tc>
          <w:tcPr>
            <w:tcW w:w="1277" w:type="pct"/>
            <w:vMerge w:val="restart"/>
            <w:vAlign w:val="center"/>
          </w:tcPr>
          <w:p w14:paraId="3961BBBA">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固定资产投资</w:t>
            </w:r>
          </w:p>
        </w:tc>
      </w:tr>
      <w:tr w14:paraId="0B4D6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62" w:type="pct"/>
            <w:vMerge w:val="continue"/>
            <w:vAlign w:val="center"/>
          </w:tcPr>
          <w:p w14:paraId="066056F1">
            <w:pPr>
              <w:keepNext/>
              <w:adjustRightInd w:val="0"/>
              <w:snapToGrid w:val="0"/>
              <w:spacing w:line="240" w:lineRule="auto"/>
              <w:ind w:firstLine="0" w:firstLineChars="0"/>
              <w:jc w:val="center"/>
              <w:rPr>
                <w:rFonts w:ascii="Times New Roman" w:hAnsi="Times New Roman"/>
                <w:b/>
                <w:sz w:val="22"/>
              </w:rPr>
            </w:pPr>
          </w:p>
        </w:tc>
        <w:tc>
          <w:tcPr>
            <w:tcW w:w="931" w:type="pct"/>
            <w:vAlign w:val="center"/>
          </w:tcPr>
          <w:p w14:paraId="3C843EF0">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公顷</w:t>
            </w:r>
          </w:p>
        </w:tc>
        <w:tc>
          <w:tcPr>
            <w:tcW w:w="914" w:type="pct"/>
            <w:vAlign w:val="center"/>
          </w:tcPr>
          <w:p w14:paraId="00AA15FA">
            <w:pPr>
              <w:keepNext/>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亩</w:t>
            </w:r>
          </w:p>
        </w:tc>
        <w:tc>
          <w:tcPr>
            <w:tcW w:w="915" w:type="pct"/>
            <w:vMerge w:val="continue"/>
            <w:vAlign w:val="center"/>
          </w:tcPr>
          <w:p w14:paraId="7459B5FC">
            <w:pPr>
              <w:keepNext/>
              <w:adjustRightInd w:val="0"/>
              <w:snapToGrid w:val="0"/>
              <w:spacing w:line="240" w:lineRule="auto"/>
              <w:ind w:firstLine="0" w:firstLineChars="0"/>
              <w:jc w:val="center"/>
              <w:rPr>
                <w:rFonts w:ascii="Times New Roman" w:hAnsi="Times New Roman"/>
                <w:sz w:val="22"/>
              </w:rPr>
            </w:pPr>
          </w:p>
        </w:tc>
        <w:tc>
          <w:tcPr>
            <w:tcW w:w="1277" w:type="pct"/>
            <w:vMerge w:val="continue"/>
            <w:vAlign w:val="center"/>
          </w:tcPr>
          <w:p w14:paraId="588FB5E3">
            <w:pPr>
              <w:keepNext/>
              <w:adjustRightInd w:val="0"/>
              <w:snapToGrid w:val="0"/>
              <w:spacing w:line="240" w:lineRule="auto"/>
              <w:ind w:firstLine="0" w:firstLineChars="0"/>
              <w:jc w:val="center"/>
              <w:rPr>
                <w:rFonts w:ascii="Times New Roman" w:hAnsi="Times New Roman"/>
                <w:sz w:val="22"/>
              </w:rPr>
            </w:pPr>
          </w:p>
        </w:tc>
      </w:tr>
      <w:tr w14:paraId="27630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62" w:type="pct"/>
            <w:vAlign w:val="center"/>
          </w:tcPr>
          <w:p w14:paraId="1D051E91">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工业用地</w:t>
            </w:r>
          </w:p>
        </w:tc>
        <w:tc>
          <w:tcPr>
            <w:tcW w:w="931" w:type="pct"/>
            <w:vAlign w:val="center"/>
          </w:tcPr>
          <w:p w14:paraId="0B20D87D">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10.6735</w:t>
            </w:r>
          </w:p>
        </w:tc>
        <w:tc>
          <w:tcPr>
            <w:tcW w:w="914" w:type="pct"/>
            <w:vAlign w:val="center"/>
          </w:tcPr>
          <w:p w14:paraId="1D8A4119">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160.1025</w:t>
            </w:r>
          </w:p>
        </w:tc>
        <w:tc>
          <w:tcPr>
            <w:tcW w:w="915" w:type="pct"/>
            <w:vAlign w:val="center"/>
          </w:tcPr>
          <w:p w14:paraId="0A91498F">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200</w:t>
            </w:r>
          </w:p>
        </w:tc>
        <w:tc>
          <w:tcPr>
            <w:tcW w:w="1277" w:type="pct"/>
            <w:vAlign w:val="center"/>
          </w:tcPr>
          <w:p w14:paraId="5862E8E5">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32020.5</w:t>
            </w:r>
          </w:p>
        </w:tc>
      </w:tr>
    </w:tbl>
    <w:p w14:paraId="362C7DBD">
      <w:pPr>
        <w:ind w:firstLine="562"/>
        <w:rPr>
          <w:rFonts w:ascii="Times New Roman" w:hAnsi="Times New Roman"/>
          <w:b/>
        </w:rPr>
      </w:pPr>
      <w:r>
        <w:rPr>
          <w:rFonts w:ascii="Times New Roman" w:hAnsi="Times New Roman"/>
          <w:b/>
        </w:rPr>
        <w:t>（4）税收</w:t>
      </w:r>
    </w:p>
    <w:p w14:paraId="76E3BCF7">
      <w:pPr>
        <w:ind w:firstLine="560"/>
        <w:rPr>
          <w:rFonts w:ascii="Times New Roman" w:hAnsi="Times New Roman"/>
        </w:rPr>
      </w:pPr>
      <w:r>
        <w:rPr>
          <w:rFonts w:ascii="Times New Roman" w:hAnsi="Times New Roman"/>
        </w:rPr>
        <w:t>根据《安徽省人民政府关于进一步强化土地节约集约利用工作的意见》（皖政</w:t>
      </w:r>
      <w:r>
        <w:rPr>
          <w:rFonts w:ascii="Times New Roman" w:hAnsi="Times New Roman" w:eastAsia="华文仿宋"/>
        </w:rPr>
        <w:t>〔</w:t>
      </w:r>
      <w:r>
        <w:rPr>
          <w:rFonts w:ascii="Times New Roman" w:hAnsi="Times New Roman"/>
        </w:rPr>
        <w:t>2013</w:t>
      </w:r>
      <w:r>
        <w:rPr>
          <w:rFonts w:ascii="Times New Roman" w:hAnsi="Times New Roman" w:eastAsia="华文仿宋"/>
        </w:rPr>
        <w:t>〕58号</w:t>
      </w:r>
      <w:r>
        <w:rPr>
          <w:rFonts w:ascii="Times New Roman" w:hAnsi="Times New Roman"/>
        </w:rPr>
        <w:t>）、《池州市提升工业用地容积率进一步推进节约集约用地实施方案的通知》（池政办秘〔2023〕92 号），市管省级开发区新增工业用地预期亩均税收按不低于20万元/年计算，每年新增税收不低于3202.05万元。</w:t>
      </w:r>
    </w:p>
    <w:p w14:paraId="5685A8F5">
      <w:pPr>
        <w:pStyle w:val="5"/>
        <w:keepNext/>
        <w:ind w:firstLine="0" w:firstLineChars="0"/>
        <w:jc w:val="center"/>
        <w:rPr>
          <w:rFonts w:ascii="Times New Roman" w:hAnsi="Times New Roman"/>
          <w:sz w:val="24"/>
          <w:szCs w:val="24"/>
        </w:rPr>
      </w:pPr>
      <w:r>
        <w:rPr>
          <w:rFonts w:ascii="Times New Roman" w:hAnsi="Times New Roman"/>
          <w:sz w:val="24"/>
          <w:szCs w:val="24"/>
        </w:rPr>
        <w:t xml:space="preserve">表 </w:t>
      </w:r>
      <w:r>
        <w:rPr>
          <w:rFonts w:ascii="Times New Roman" w:hAnsi="Times New Roman"/>
          <w:sz w:val="24"/>
          <w:szCs w:val="24"/>
        </w:rPr>
        <w:fldChar w:fldCharType="begin"/>
      </w:r>
      <w:r>
        <w:rPr>
          <w:rFonts w:ascii="Times New Roman" w:hAnsi="Times New Roman"/>
          <w:sz w:val="24"/>
          <w:szCs w:val="24"/>
        </w:rPr>
        <w:instrText xml:space="preserve"> SEQ 表 \* ARABIC </w:instrText>
      </w:r>
      <w:r>
        <w:rPr>
          <w:rFonts w:ascii="Times New Roman" w:hAnsi="Times New Roman"/>
          <w:sz w:val="24"/>
          <w:szCs w:val="24"/>
        </w:rPr>
        <w:fldChar w:fldCharType="separate"/>
      </w:r>
      <w:r>
        <w:rPr>
          <w:rFonts w:ascii="Times New Roman" w:hAnsi="Times New Roman"/>
          <w:sz w:val="24"/>
          <w:szCs w:val="24"/>
        </w:rPr>
        <w:t>7</w:t>
      </w:r>
      <w:r>
        <w:rPr>
          <w:rFonts w:ascii="Times New Roman" w:hAnsi="Times New Roman"/>
          <w:sz w:val="24"/>
          <w:szCs w:val="24"/>
        </w:rPr>
        <w:fldChar w:fldCharType="end"/>
      </w:r>
      <w:r>
        <w:rPr>
          <w:rFonts w:ascii="Times New Roman" w:hAnsi="Times New Roman"/>
          <w:sz w:val="24"/>
          <w:szCs w:val="24"/>
        </w:rPr>
        <w:t>开发片区税收测算表</w:t>
      </w:r>
    </w:p>
    <w:p w14:paraId="5F774DEF">
      <w:pPr>
        <w:adjustRightInd w:val="0"/>
        <w:snapToGrid w:val="0"/>
        <w:spacing w:line="240" w:lineRule="auto"/>
        <w:ind w:firstLine="440"/>
        <w:jc w:val="right"/>
        <w:rPr>
          <w:rFonts w:ascii="Times New Roman" w:hAnsi="Times New Roman"/>
        </w:rPr>
      </w:pPr>
      <w:r>
        <w:rPr>
          <w:rFonts w:ascii="Times New Roman" w:hAnsi="Times New Roman"/>
          <w:sz w:val="22"/>
        </w:rPr>
        <w:t>单位：万元/亩、万元</w:t>
      </w:r>
    </w:p>
    <w:tbl>
      <w:tblPr>
        <w:tblStyle w:val="1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1701"/>
        <w:gridCol w:w="1558"/>
        <w:gridCol w:w="1560"/>
        <w:gridCol w:w="2177"/>
      </w:tblGrid>
      <w:tr w14:paraId="6511D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95" w:type="pct"/>
            <w:vMerge w:val="restart"/>
            <w:vAlign w:val="center"/>
          </w:tcPr>
          <w:p w14:paraId="6F1D4BE5">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用地类型</w:t>
            </w:r>
          </w:p>
        </w:tc>
        <w:tc>
          <w:tcPr>
            <w:tcW w:w="1912" w:type="pct"/>
            <w:gridSpan w:val="2"/>
            <w:vAlign w:val="center"/>
          </w:tcPr>
          <w:p w14:paraId="37F954AC">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拟征收土地</w:t>
            </w:r>
          </w:p>
        </w:tc>
        <w:tc>
          <w:tcPr>
            <w:tcW w:w="915" w:type="pct"/>
            <w:vMerge w:val="restart"/>
            <w:vAlign w:val="center"/>
          </w:tcPr>
          <w:p w14:paraId="2DF69F04">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亩均费用</w:t>
            </w:r>
          </w:p>
        </w:tc>
        <w:tc>
          <w:tcPr>
            <w:tcW w:w="1277" w:type="pct"/>
            <w:vMerge w:val="restart"/>
            <w:vAlign w:val="center"/>
          </w:tcPr>
          <w:p w14:paraId="49EE4ECF">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税收</w:t>
            </w:r>
          </w:p>
        </w:tc>
      </w:tr>
      <w:tr w14:paraId="3FE4A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95" w:type="pct"/>
            <w:vMerge w:val="continue"/>
            <w:vAlign w:val="center"/>
          </w:tcPr>
          <w:p w14:paraId="1B31D89F">
            <w:pPr>
              <w:adjustRightInd w:val="0"/>
              <w:snapToGrid w:val="0"/>
              <w:spacing w:line="240" w:lineRule="auto"/>
              <w:ind w:firstLine="0" w:firstLineChars="0"/>
              <w:jc w:val="center"/>
              <w:rPr>
                <w:rFonts w:ascii="Times New Roman" w:hAnsi="Times New Roman"/>
                <w:b/>
                <w:sz w:val="22"/>
              </w:rPr>
            </w:pPr>
          </w:p>
        </w:tc>
        <w:tc>
          <w:tcPr>
            <w:tcW w:w="998" w:type="pct"/>
            <w:vAlign w:val="center"/>
          </w:tcPr>
          <w:p w14:paraId="19598507">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公顷</w:t>
            </w:r>
          </w:p>
        </w:tc>
        <w:tc>
          <w:tcPr>
            <w:tcW w:w="914" w:type="pct"/>
            <w:vAlign w:val="center"/>
          </w:tcPr>
          <w:p w14:paraId="6D91C133">
            <w:pPr>
              <w:adjustRightInd w:val="0"/>
              <w:snapToGrid w:val="0"/>
              <w:spacing w:line="240" w:lineRule="auto"/>
              <w:ind w:firstLine="0" w:firstLineChars="0"/>
              <w:jc w:val="center"/>
              <w:rPr>
                <w:rFonts w:ascii="Times New Roman" w:hAnsi="Times New Roman"/>
                <w:b/>
                <w:sz w:val="22"/>
              </w:rPr>
            </w:pPr>
            <w:r>
              <w:rPr>
                <w:rFonts w:ascii="Times New Roman" w:hAnsi="Times New Roman"/>
                <w:b/>
                <w:sz w:val="22"/>
              </w:rPr>
              <w:t>亩</w:t>
            </w:r>
          </w:p>
        </w:tc>
        <w:tc>
          <w:tcPr>
            <w:tcW w:w="915" w:type="pct"/>
            <w:vMerge w:val="continue"/>
            <w:vAlign w:val="center"/>
          </w:tcPr>
          <w:p w14:paraId="518278CA">
            <w:pPr>
              <w:adjustRightInd w:val="0"/>
              <w:snapToGrid w:val="0"/>
              <w:spacing w:line="240" w:lineRule="auto"/>
              <w:ind w:firstLine="0" w:firstLineChars="0"/>
              <w:jc w:val="center"/>
              <w:rPr>
                <w:rFonts w:ascii="Times New Roman" w:hAnsi="Times New Roman"/>
                <w:sz w:val="22"/>
              </w:rPr>
            </w:pPr>
          </w:p>
        </w:tc>
        <w:tc>
          <w:tcPr>
            <w:tcW w:w="1277" w:type="pct"/>
            <w:vMerge w:val="continue"/>
            <w:vAlign w:val="center"/>
          </w:tcPr>
          <w:p w14:paraId="2384EBC3">
            <w:pPr>
              <w:adjustRightInd w:val="0"/>
              <w:snapToGrid w:val="0"/>
              <w:spacing w:line="240" w:lineRule="auto"/>
              <w:ind w:firstLine="0" w:firstLineChars="0"/>
              <w:jc w:val="center"/>
              <w:rPr>
                <w:rFonts w:ascii="Times New Roman" w:hAnsi="Times New Roman"/>
                <w:sz w:val="22"/>
              </w:rPr>
            </w:pPr>
          </w:p>
        </w:tc>
      </w:tr>
      <w:tr w14:paraId="6B7D5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95" w:type="pct"/>
            <w:vAlign w:val="center"/>
          </w:tcPr>
          <w:p w14:paraId="5C39E3ED">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工业用地</w:t>
            </w:r>
          </w:p>
        </w:tc>
        <w:tc>
          <w:tcPr>
            <w:tcW w:w="998" w:type="pct"/>
            <w:vAlign w:val="center"/>
          </w:tcPr>
          <w:p w14:paraId="751A37EF">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10.6735</w:t>
            </w:r>
          </w:p>
        </w:tc>
        <w:tc>
          <w:tcPr>
            <w:tcW w:w="914" w:type="pct"/>
            <w:vAlign w:val="center"/>
          </w:tcPr>
          <w:p w14:paraId="6BDD9084">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160.1025</w:t>
            </w:r>
          </w:p>
        </w:tc>
        <w:tc>
          <w:tcPr>
            <w:tcW w:w="915" w:type="pct"/>
            <w:vAlign w:val="center"/>
          </w:tcPr>
          <w:p w14:paraId="062C683C">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20</w:t>
            </w:r>
          </w:p>
        </w:tc>
        <w:tc>
          <w:tcPr>
            <w:tcW w:w="1277" w:type="pct"/>
            <w:vAlign w:val="center"/>
          </w:tcPr>
          <w:p w14:paraId="0E61D90A">
            <w:pPr>
              <w:adjustRightInd w:val="0"/>
              <w:snapToGrid w:val="0"/>
              <w:spacing w:line="240" w:lineRule="auto"/>
              <w:ind w:firstLine="0" w:firstLineChars="0"/>
              <w:jc w:val="center"/>
              <w:rPr>
                <w:rFonts w:ascii="Times New Roman" w:hAnsi="Times New Roman"/>
                <w:sz w:val="22"/>
              </w:rPr>
            </w:pPr>
            <w:r>
              <w:rPr>
                <w:rFonts w:ascii="Times New Roman" w:hAnsi="Times New Roman"/>
                <w:sz w:val="22"/>
              </w:rPr>
              <w:t>3202.05</w:t>
            </w:r>
            <w:r>
              <w:rPr>
                <w:rFonts w:ascii="Times New Roman" w:hAnsi="Times New Roman"/>
              </w:rPr>
              <w:t>‬‬‬‬‬‬‬‬‬‬</w:t>
            </w:r>
          </w:p>
        </w:tc>
      </w:tr>
    </w:tbl>
    <w:p w14:paraId="45F41B71">
      <w:pPr>
        <w:pStyle w:val="3"/>
        <w:ind w:firstLine="560"/>
        <w:rPr>
          <w:rFonts w:ascii="Times New Roman" w:hAnsi="Times New Roman"/>
        </w:rPr>
      </w:pPr>
      <w:bookmarkStart w:id="22" w:name="_Toc207347476"/>
      <w:r>
        <w:rPr>
          <w:rFonts w:ascii="Times New Roman" w:hAnsi="Times New Roman"/>
        </w:rPr>
        <w:t>社会效益评估</w:t>
      </w:r>
      <w:bookmarkEnd w:id="22"/>
    </w:p>
    <w:p w14:paraId="37B32DE2">
      <w:pPr>
        <w:ind w:firstLine="560"/>
        <w:rPr>
          <w:rFonts w:ascii="Times New Roman" w:hAnsi="Times New Roman"/>
        </w:rPr>
      </w:pPr>
      <w:r>
        <w:rPr>
          <w:rFonts w:ascii="Times New Roman" w:hAnsi="Times New Roman"/>
        </w:rPr>
        <w:t>在完善生活配套方面，片区将进一步完善区域内的水、电、气、热以及城市路网等公共服务基础设施，能够满足区域生活配套设施需求。</w:t>
      </w:r>
    </w:p>
    <w:p w14:paraId="4F4337B5">
      <w:pPr>
        <w:ind w:firstLine="560"/>
        <w:rPr>
          <w:rFonts w:ascii="Times New Roman" w:hAnsi="Times New Roman"/>
        </w:rPr>
      </w:pPr>
      <w:r>
        <w:rPr>
          <w:rFonts w:ascii="Times New Roman" w:hAnsi="Times New Roman"/>
        </w:rPr>
        <w:t>在促进产业集聚发展方面，成片开发范围内存在土地利用方式不够集约，基础设施不完善，导致产业难以形成规模。成片开发的实施可以改变片区范围内道路、供电、供水、排水等基础设施条件，为产业的集聚发展做好基础服务，吸引重点项目入驻产业园区。</w:t>
      </w:r>
    </w:p>
    <w:p w14:paraId="641028E8">
      <w:pPr>
        <w:ind w:firstLine="560"/>
        <w:rPr>
          <w:rFonts w:ascii="Times New Roman" w:hAnsi="Times New Roman"/>
        </w:rPr>
      </w:pPr>
      <w:r>
        <w:rPr>
          <w:rFonts w:ascii="Times New Roman" w:hAnsi="Times New Roman"/>
        </w:rPr>
        <w:t>在促进社会发展方面，本片区的土地征收工作，有利于进一步推动地区社会经济发展，集中连片开发建设，统一征收补偿，能够有效保障被征地农民的合法权益，全力助推乡村振兴战略的实施。</w:t>
      </w:r>
    </w:p>
    <w:p w14:paraId="427A60F2">
      <w:pPr>
        <w:ind w:firstLine="560"/>
        <w:rPr>
          <w:rFonts w:ascii="Times New Roman" w:hAnsi="Times New Roman"/>
        </w:rPr>
      </w:pPr>
      <w:r>
        <w:rPr>
          <w:rFonts w:ascii="Times New Roman" w:hAnsi="Times New Roman"/>
        </w:rPr>
        <w:t>在带动就业方面，随着产业园区的建成，可以带动周围居民的就近就业。同时，产业的发展可以拉动第三产业的发展，创造出更多的就业机会，实现地区经济的发展和社会稳定。</w:t>
      </w:r>
    </w:p>
    <w:p w14:paraId="7BA8D9BA">
      <w:pPr>
        <w:pStyle w:val="3"/>
        <w:ind w:firstLine="560"/>
        <w:rPr>
          <w:rFonts w:ascii="Times New Roman" w:hAnsi="Times New Roman"/>
        </w:rPr>
      </w:pPr>
      <w:bookmarkStart w:id="23" w:name="_Toc207347477"/>
      <w:r>
        <w:rPr>
          <w:rFonts w:ascii="Times New Roman" w:hAnsi="Times New Roman"/>
        </w:rPr>
        <w:t>生态效益评估</w:t>
      </w:r>
      <w:bookmarkEnd w:id="23"/>
    </w:p>
    <w:p w14:paraId="390B460F">
      <w:pPr>
        <w:ind w:firstLine="560"/>
        <w:rPr>
          <w:rFonts w:ascii="Times New Roman" w:hAnsi="Times New Roman"/>
        </w:rPr>
      </w:pPr>
      <w:r>
        <w:rPr>
          <w:rFonts w:ascii="Times New Roman" w:hAnsi="Times New Roman"/>
        </w:rPr>
        <w:t>在减少噪音、粉尘污染方面，通过建设标准化厂房，引进先进生产加工设备，可以有效的改善产业园区噪音大，粉尘污染严重，污染范围过大的环境问题；同时加强货运车辆扬尘、尾气的监测和防治工作，限制不符合运输标准的车辆通行，减少工业噪声、粉尘、废气等对生活区的影响。</w:t>
      </w:r>
    </w:p>
    <w:p w14:paraId="3B37D59C">
      <w:pPr>
        <w:ind w:firstLine="560"/>
        <w:rPr>
          <w:rFonts w:ascii="Times New Roman" w:hAnsi="Times New Roman"/>
        </w:rPr>
      </w:pPr>
      <w:r>
        <w:rPr>
          <w:rFonts w:ascii="Times New Roman" w:hAnsi="Times New Roman"/>
        </w:rPr>
        <w:t>提高水环境和水生态质量方面，片区的开发可以完善片区内部及周边的污水处理设施，严格实行雨污分流制度，片区内因生产产生的污水可以经过污水处理设施集中进行处理。片区范围内用地功能以工业用地为主，主要以镁合金精深加工项目、智能装备制造、精密制造、关键配件、精密零件、高端元器件、非金属材料循环经济为主要产业，其污水性质为工业污水，通过现状的污水泵站接入市政污水管网，可以极大的提高附近水系及地下水的生态环境质量。</w:t>
      </w:r>
    </w:p>
    <w:p w14:paraId="5A2C7AB5">
      <w:pPr>
        <w:ind w:firstLine="560"/>
        <w:rPr>
          <w:rFonts w:ascii="Times New Roman" w:hAnsi="Times New Roman"/>
        </w:rPr>
      </w:pPr>
      <w:r>
        <w:rPr>
          <w:rFonts w:ascii="Times New Roman" w:hAnsi="Times New Roman"/>
        </w:rPr>
        <w:t>在增加绿化面积方面，片区建设完成后绿地面积16.7254公顷，通过增加绿地可以形成生态通道，将产业园片区相互贯通，同时绿地面积的增加可以改善片区周边的空气质量，降低工业生产产生的噪音，减少粉尘污染，增加生态微观、生态廊道的连通性。</w:t>
      </w:r>
    </w:p>
    <w:p w14:paraId="433C30AE">
      <w:pPr>
        <w:pStyle w:val="2"/>
        <w:ind w:firstLine="602"/>
        <w:jc w:val="both"/>
        <w:rPr>
          <w:rFonts w:ascii="Times New Roman" w:hAnsi="Times New Roman" w:cs="Times New Roman"/>
        </w:rPr>
      </w:pPr>
      <w:bookmarkStart w:id="24" w:name="_Toc207347478"/>
      <w:r>
        <w:rPr>
          <w:rFonts w:ascii="Times New Roman" w:hAnsi="Times New Roman" w:cs="Times New Roman"/>
        </w:rPr>
        <w:t>其他需要说明的情况</w:t>
      </w:r>
      <w:bookmarkEnd w:id="24"/>
    </w:p>
    <w:p w14:paraId="0A852E0C">
      <w:pPr>
        <w:pStyle w:val="3"/>
        <w:ind w:firstLine="560"/>
        <w:rPr>
          <w:rFonts w:ascii="Times New Roman" w:hAnsi="Times New Roman"/>
        </w:rPr>
      </w:pPr>
      <w:bookmarkStart w:id="25" w:name="_Toc207347479"/>
      <w:r>
        <w:rPr>
          <w:rFonts w:ascii="Times New Roman" w:hAnsi="Times New Roman"/>
        </w:rPr>
        <w:t>规划符合性</w:t>
      </w:r>
      <w:bookmarkEnd w:id="25"/>
    </w:p>
    <w:p w14:paraId="3FFB35F6">
      <w:pPr>
        <w:ind w:firstLine="562"/>
        <w:rPr>
          <w:rFonts w:ascii="Times New Roman" w:hAnsi="Times New Roman"/>
          <w:b/>
        </w:rPr>
      </w:pPr>
      <w:r>
        <w:rPr>
          <w:rFonts w:ascii="Times New Roman" w:hAnsi="Times New Roman"/>
          <w:b/>
        </w:rPr>
        <w:t>（1）国土空间规划符合性情况</w:t>
      </w:r>
    </w:p>
    <w:p w14:paraId="3D8812B7">
      <w:pPr>
        <w:ind w:firstLine="560"/>
        <w:rPr>
          <w:rFonts w:ascii="Times New Roman" w:hAnsi="Times New Roman"/>
        </w:rPr>
      </w:pPr>
      <w:r>
        <w:rPr>
          <w:rFonts w:ascii="Times New Roman" w:hAnsi="Times New Roman"/>
        </w:rPr>
        <w:t>本方案符合《青阳县国民经济和社会发展第十四个五年规划和2035年远景目标纲要》《青阳县国土空间总体规划（2021-2035年）》。本片区全部位于国土空间总体规划确定的城镇开发边界的集中建设区内，地块规划用途符合《青阳县新河镇XHCZDY-01单元详细规划》。已将当年实施计划纳入2025年国民经济和社会发展年度计划，并承诺将后续实施计划纳入当年度国民经济和社会发展年度计划。经套合 “三区三线”划定成果，该片区全部位于城镇开发边界局部优化成果（2024年第二轮，12月版）内，不涉及占用生态保护红线、永久基本农田核实处置成果。</w:t>
      </w:r>
    </w:p>
    <w:p w14:paraId="29973C6E">
      <w:pPr>
        <w:keepNext/>
        <w:ind w:firstLine="0" w:firstLineChars="0"/>
        <w:jc w:val="center"/>
        <w:rPr>
          <w:rFonts w:ascii="Times New Roman" w:hAnsi="Times New Roman"/>
        </w:rPr>
      </w:pPr>
      <w:r>
        <w:rPr>
          <w:rFonts w:ascii="Times New Roman" w:hAnsi="Times New Roman"/>
        </w:rPr>
        <w:drawing>
          <wp:inline distT="0" distB="0" distL="0" distR="0">
            <wp:extent cx="5274310" cy="5274310"/>
            <wp:effectExtent l="0" t="0" r="2540" b="2540"/>
            <wp:docPr id="4" name="图片 4" descr="E:\2025年工作\2.成片开发\6.青阳县新河镇十里岗片区土地征收成片开发方案（2025年调整）\图件\图件\三区三线套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E:\2025年工作\2.成片开发\6.青阳县新河镇十里岗片区土地征收成片开发方案（2025年调整）\图件\图件\三区三线套合.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5274310" cy="5274310"/>
                    </a:xfrm>
                    <a:prstGeom prst="rect">
                      <a:avLst/>
                    </a:prstGeom>
                    <a:noFill/>
                    <a:ln>
                      <a:noFill/>
                    </a:ln>
                  </pic:spPr>
                </pic:pic>
              </a:graphicData>
            </a:graphic>
          </wp:inline>
        </w:drawing>
      </w:r>
    </w:p>
    <w:p w14:paraId="2539F122">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24</w:t>
      </w:r>
      <w:r>
        <w:rPr>
          <w:rFonts w:ascii="Times New Roman" w:hAnsi="Times New Roman" w:eastAsia="黑体"/>
          <w:bCs/>
          <w:sz w:val="24"/>
        </w:rPr>
        <w:fldChar w:fldCharType="end"/>
      </w:r>
      <w:r>
        <w:rPr>
          <w:rFonts w:ascii="Times New Roman" w:hAnsi="Times New Roman" w:eastAsia="黑体"/>
          <w:bCs/>
          <w:sz w:val="24"/>
        </w:rPr>
        <w:t>新河镇十里岗片区“三区三线”划定成果图</w:t>
      </w:r>
    </w:p>
    <w:p w14:paraId="6F9D88C4">
      <w:pPr>
        <w:ind w:firstLine="562"/>
        <w:rPr>
          <w:rFonts w:ascii="Times New Roman" w:hAnsi="Times New Roman"/>
          <w:b/>
        </w:rPr>
      </w:pPr>
      <w:r>
        <w:rPr>
          <w:rFonts w:ascii="Times New Roman" w:hAnsi="Times New Roman"/>
          <w:b/>
        </w:rPr>
        <w:t>（2）长江保护法符合性情况</w:t>
      </w:r>
    </w:p>
    <w:p w14:paraId="45C1F089">
      <w:pPr>
        <w:ind w:firstLine="560"/>
        <w:rPr>
          <w:rFonts w:ascii="Times New Roman" w:hAnsi="Times New Roman"/>
        </w:rPr>
      </w:pPr>
      <w:r>
        <w:rPr>
          <w:rFonts w:ascii="Times New Roman" w:hAnsi="Times New Roman"/>
        </w:rPr>
        <w:t>本方案符合《长江保护法》《长江经济带发展负面清单指南（试行，2022年版）》《长江岸线保护和开发利用总体规划》等相关要求，本片区不涉及长江干支流河湖管理范围线，距离长江干支流河湖管理范围线超过1公里。</w:t>
      </w:r>
    </w:p>
    <w:p w14:paraId="6668F997">
      <w:pPr>
        <w:ind w:firstLine="0" w:firstLineChars="0"/>
        <w:rPr>
          <w:rFonts w:ascii="Times New Roman" w:hAnsi="Times New Roman" w:eastAsia="黑体"/>
          <w:bCs/>
          <w:sz w:val="24"/>
        </w:rPr>
      </w:pPr>
      <w:r>
        <w:rPr>
          <w:rFonts w:ascii="Times New Roman" w:hAnsi="Times New Roman" w:eastAsia="黑体"/>
          <w:bCs/>
          <w:sz w:val="24"/>
        </w:rPr>
        <w:drawing>
          <wp:inline distT="0" distB="0" distL="0" distR="0">
            <wp:extent cx="5274310" cy="3732530"/>
            <wp:effectExtent l="0" t="0" r="2540" b="1270"/>
            <wp:docPr id="12" name="图片 12" descr="E:\2025年工作\2.成片开发\6.青阳县新河镇十里岗片区土地征收成片开发方案（2025年调整）\图件\图件\河湖管理范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2025年工作\2.成片开发\6.青阳县新河镇十里岗片区土地征收成片开发方案（2025年调整）\图件\图件\河湖管理范围.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5274310" cy="3732572"/>
                    </a:xfrm>
                    <a:prstGeom prst="rect">
                      <a:avLst/>
                    </a:prstGeom>
                    <a:noFill/>
                    <a:ln>
                      <a:noFill/>
                    </a:ln>
                  </pic:spPr>
                </pic:pic>
              </a:graphicData>
            </a:graphic>
          </wp:inline>
        </w:drawing>
      </w:r>
    </w:p>
    <w:p w14:paraId="57584860">
      <w:pPr>
        <w:widowControl/>
        <w:spacing w:line="240" w:lineRule="auto"/>
        <w:ind w:firstLine="0" w:firstLineChars="0"/>
        <w:jc w:val="center"/>
        <w:rPr>
          <w:rFonts w:ascii="Times New Roman" w:hAnsi="Times New Roman" w:eastAsia="黑体"/>
          <w:bCs/>
          <w:sz w:val="24"/>
        </w:rPr>
      </w:pPr>
      <w:r>
        <w:rPr>
          <w:rFonts w:ascii="Times New Roman" w:hAnsi="Times New Roman" w:eastAsia="黑体"/>
          <w:bCs/>
          <w:sz w:val="24"/>
        </w:rPr>
        <w:t xml:space="preserve">图 </w:t>
      </w:r>
      <w:r>
        <w:rPr>
          <w:rFonts w:ascii="Times New Roman" w:hAnsi="Times New Roman" w:eastAsia="黑体"/>
          <w:bCs/>
          <w:sz w:val="24"/>
        </w:rPr>
        <w:fldChar w:fldCharType="begin"/>
      </w:r>
      <w:r>
        <w:rPr>
          <w:rFonts w:ascii="Times New Roman" w:hAnsi="Times New Roman" w:eastAsia="黑体"/>
          <w:bCs/>
          <w:sz w:val="24"/>
        </w:rPr>
        <w:instrText xml:space="preserve"> SEQ 图 \* ARABIC </w:instrText>
      </w:r>
      <w:r>
        <w:rPr>
          <w:rFonts w:ascii="Times New Roman" w:hAnsi="Times New Roman" w:eastAsia="黑体"/>
          <w:bCs/>
          <w:sz w:val="24"/>
        </w:rPr>
        <w:fldChar w:fldCharType="separate"/>
      </w:r>
      <w:r>
        <w:rPr>
          <w:rFonts w:ascii="Times New Roman" w:hAnsi="Times New Roman" w:eastAsia="黑体"/>
          <w:bCs/>
          <w:sz w:val="24"/>
        </w:rPr>
        <w:t>25</w:t>
      </w:r>
      <w:r>
        <w:rPr>
          <w:rFonts w:ascii="Times New Roman" w:hAnsi="Times New Roman" w:eastAsia="黑体"/>
          <w:bCs/>
          <w:sz w:val="24"/>
        </w:rPr>
        <w:fldChar w:fldCharType="end"/>
      </w:r>
      <w:r>
        <w:rPr>
          <w:rFonts w:ascii="Times New Roman" w:hAnsi="Times New Roman" w:eastAsia="黑体"/>
          <w:bCs/>
          <w:sz w:val="24"/>
        </w:rPr>
        <w:t>新河镇十里岗片区套合河湖岸线管理范围图</w:t>
      </w:r>
    </w:p>
    <w:p w14:paraId="5E3954BB">
      <w:pPr>
        <w:pStyle w:val="3"/>
        <w:ind w:firstLine="560"/>
        <w:rPr>
          <w:rFonts w:ascii="Times New Roman" w:hAnsi="Times New Roman"/>
        </w:rPr>
      </w:pPr>
      <w:bookmarkStart w:id="26" w:name="_Toc207347480"/>
      <w:r>
        <w:rPr>
          <w:rFonts w:ascii="Times New Roman" w:hAnsi="Times New Roman"/>
        </w:rPr>
        <w:t>本地土地节约集约利用情况</w:t>
      </w:r>
      <w:bookmarkEnd w:id="26"/>
    </w:p>
    <w:p w14:paraId="48B3D88B">
      <w:pPr>
        <w:ind w:firstLine="560"/>
        <w:rPr>
          <w:rFonts w:ascii="Times New Roman" w:hAnsi="Times New Roman"/>
        </w:rPr>
      </w:pPr>
      <w:r>
        <w:rPr>
          <w:rFonts w:ascii="Times New Roman" w:hAnsi="Times New Roman"/>
        </w:rPr>
        <w:t>不存在市、县区域内上一年度批而未供土地或者闲置土地处置率未达到15%，不存在本年度按季度统计处置率仍未达到15%。本年度按月统计已完成处置任务。</w:t>
      </w:r>
    </w:p>
    <w:p w14:paraId="7A2B027A">
      <w:pPr>
        <w:ind w:firstLine="560"/>
        <w:rPr>
          <w:rFonts w:ascii="Times New Roman" w:hAnsi="Times New Roman"/>
        </w:rPr>
      </w:pPr>
      <w:r>
        <w:rPr>
          <w:rFonts w:ascii="Times New Roman" w:hAnsi="Times New Roman"/>
        </w:rPr>
        <w:t>不存在省级以上开发区土地建成率、亩均固定资产投资总额、亩均税收、综合容积率等指标均低于同级别、同类型开发区平均指标值50%。</w:t>
      </w:r>
    </w:p>
    <w:p w14:paraId="4BC17A5D">
      <w:pPr>
        <w:ind w:firstLine="560"/>
        <w:rPr>
          <w:rFonts w:ascii="Times New Roman" w:hAnsi="Times New Roman"/>
        </w:rPr>
      </w:pPr>
      <w:r>
        <w:rPr>
          <w:rFonts w:ascii="Times New Roman" w:hAnsi="Times New Roman"/>
        </w:rPr>
        <w:t>不存在城市新区经土地集约利用程度评价认定效率低下。</w:t>
      </w:r>
    </w:p>
    <w:p w14:paraId="4A71F494">
      <w:pPr>
        <w:pStyle w:val="3"/>
        <w:ind w:firstLine="560"/>
        <w:rPr>
          <w:rFonts w:ascii="Times New Roman" w:hAnsi="Times New Roman"/>
        </w:rPr>
      </w:pPr>
      <w:bookmarkStart w:id="27" w:name="_Toc207347481"/>
      <w:r>
        <w:rPr>
          <w:rFonts w:ascii="Times New Roman" w:hAnsi="Times New Roman"/>
        </w:rPr>
        <w:t>其他有关情况</w:t>
      </w:r>
      <w:bookmarkEnd w:id="27"/>
    </w:p>
    <w:p w14:paraId="2BD7613C">
      <w:pPr>
        <w:ind w:firstLine="560"/>
        <w:rPr>
          <w:rFonts w:ascii="Times New Roman" w:hAnsi="Times New Roman"/>
        </w:rPr>
      </w:pPr>
      <w:r>
        <w:rPr>
          <w:rFonts w:ascii="Times New Roman" w:hAnsi="Times New Roman"/>
        </w:rPr>
        <w:t>不存在已批准实施的土地征收成片开发连续两年未完成方案安排的年度实施计划。</w:t>
      </w:r>
    </w:p>
    <w:p w14:paraId="24D01165">
      <w:pPr>
        <w:ind w:firstLine="560"/>
        <w:rPr>
          <w:rFonts w:ascii="Times New Roman" w:hAnsi="Times New Roman"/>
        </w:rPr>
      </w:pPr>
      <w:r>
        <w:rPr>
          <w:rFonts w:ascii="Times New Roman" w:hAnsi="Times New Roman"/>
        </w:rPr>
        <w:t>不存在集中建设区内具有土壤污染风险的建设用地地块未达到土壤污染风险管控、修复目标。经青阳县生态环境分局审查，该方案范围内不涉及“全国污染地块土壤环境管理信息系统”公布的污染风险地块。</w:t>
      </w:r>
    </w:p>
    <w:p w14:paraId="056097CA">
      <w:pPr>
        <w:ind w:firstLine="560"/>
        <w:rPr>
          <w:rFonts w:ascii="Times New Roman" w:hAnsi="Times New Roman"/>
        </w:rPr>
      </w:pPr>
      <w:r>
        <w:rPr>
          <w:rFonts w:ascii="Times New Roman" w:hAnsi="Times New Roman"/>
        </w:rPr>
        <w:t>不涉及化工园区。</w:t>
      </w:r>
    </w:p>
    <w:p w14:paraId="58ECC4F3">
      <w:pPr>
        <w:ind w:firstLine="560"/>
        <w:rPr>
          <w:rFonts w:ascii="Times New Roman" w:hAnsi="Times New Roman"/>
        </w:rPr>
        <w:sectPr>
          <w:footerReference r:id="rId11" w:type="default"/>
          <w:pgSz w:w="11906" w:h="16838"/>
          <w:pgMar w:top="1440" w:right="1800" w:bottom="1440" w:left="1800" w:header="851" w:footer="992" w:gutter="0"/>
          <w:pgNumType w:start="1"/>
          <w:cols w:space="720" w:num="1"/>
          <w:docGrid w:type="lines" w:linePitch="326" w:charSpace="0"/>
        </w:sectPr>
      </w:pPr>
    </w:p>
    <w:p w14:paraId="21CFA06E">
      <w:pPr>
        <w:pStyle w:val="2"/>
        <w:numPr>
          <w:ilvl w:val="0"/>
          <w:numId w:val="0"/>
        </w:numPr>
        <w:spacing w:line="240" w:lineRule="auto"/>
        <w:jc w:val="both"/>
        <w:rPr>
          <w:rFonts w:ascii="Times New Roman" w:hAnsi="Times New Roman" w:cs="Times New Roman"/>
        </w:rPr>
      </w:pPr>
      <w:bookmarkStart w:id="28" w:name="_Toc207347482"/>
      <w:r>
        <w:rPr>
          <w:rFonts w:ascii="Times New Roman" w:hAnsi="Times New Roman" w:cs="Times New Roman"/>
        </w:rPr>
        <w:t>附件</w:t>
      </w:r>
      <w:bookmarkEnd w:id="28"/>
    </w:p>
    <w:p w14:paraId="5C0BB385">
      <w:pPr>
        <w:pStyle w:val="3"/>
        <w:numPr>
          <w:ilvl w:val="0"/>
          <w:numId w:val="0"/>
        </w:numPr>
        <w:rPr>
          <w:rFonts w:ascii="Times New Roman" w:hAnsi="Times New Roman" w:eastAsia="仿宋"/>
        </w:rPr>
      </w:pPr>
      <w:bookmarkStart w:id="29" w:name="_Toc135727553"/>
      <w:bookmarkStart w:id="30" w:name="_Toc207347483"/>
      <w:r>
        <w:rPr>
          <w:rFonts w:ascii="Times New Roman" w:hAnsi="Times New Roman"/>
        </w:rPr>
        <w:t>1.青阳县新河镇十里岗片区（2025年调整）（编号CZQY341723-2022-2）</w:t>
      </w:r>
      <w:bookmarkEnd w:id="29"/>
      <w:r>
        <w:rPr>
          <w:rFonts w:ascii="Times New Roman" w:hAnsi="Times New Roman"/>
        </w:rPr>
        <w:t>基本情况表</w:t>
      </w:r>
      <w:bookmarkEnd w:id="30"/>
    </w:p>
    <w:p w14:paraId="4C37DCC4">
      <w:pPr>
        <w:ind w:firstLine="560"/>
        <w:rPr>
          <w:rFonts w:ascii="Times New Roman" w:hAnsi="Times New Roman"/>
        </w:rPr>
        <w:sectPr>
          <w:pgSz w:w="11906" w:h="16838"/>
          <w:pgMar w:top="1440" w:right="1800" w:bottom="1440" w:left="1800" w:header="851" w:footer="992" w:gutter="0"/>
          <w:cols w:space="720" w:num="1"/>
          <w:docGrid w:type="lines" w:linePitch="326" w:charSpace="0"/>
        </w:sectPr>
      </w:pPr>
    </w:p>
    <w:p w14:paraId="7FC46A80">
      <w:pPr>
        <w:adjustRightInd w:val="0"/>
        <w:snapToGrid w:val="0"/>
        <w:spacing w:line="240" w:lineRule="auto"/>
        <w:ind w:firstLine="0" w:firstLineChars="0"/>
        <w:jc w:val="center"/>
        <w:rPr>
          <w:rFonts w:ascii="Times New Roman" w:hAnsi="Times New Roman"/>
          <w:b/>
        </w:rPr>
      </w:pPr>
      <w:r>
        <w:rPr>
          <w:rFonts w:ascii="Times New Roman" w:hAnsi="Times New Roman"/>
          <w:b/>
        </w:rPr>
        <w:t>青阳县新河镇十里岗片区（2025年调整）（编号CZQY341723-2022-2）</w:t>
      </w:r>
    </w:p>
    <w:p w14:paraId="513E00E2">
      <w:pPr>
        <w:adjustRightInd w:val="0"/>
        <w:snapToGrid w:val="0"/>
        <w:spacing w:line="240" w:lineRule="auto"/>
        <w:ind w:firstLine="0" w:firstLineChars="0"/>
        <w:jc w:val="center"/>
        <w:rPr>
          <w:rFonts w:ascii="Times New Roman" w:hAnsi="Times New Roman"/>
          <w:b/>
        </w:rPr>
      </w:pPr>
      <w:r>
        <w:rPr>
          <w:rFonts w:ascii="Times New Roman" w:hAnsi="Times New Roman"/>
          <w:b/>
        </w:rPr>
        <w:t>基本情况表</w:t>
      </w:r>
    </w:p>
    <w:p w14:paraId="4EAB0D0C">
      <w:pPr>
        <w:spacing w:line="240" w:lineRule="atLeast"/>
        <w:ind w:firstLine="0" w:firstLineChars="0"/>
        <w:jc w:val="right"/>
        <w:rPr>
          <w:rFonts w:ascii="Times New Roman" w:hAnsi="Times New Roman"/>
          <w:sz w:val="21"/>
          <w:szCs w:val="21"/>
        </w:rPr>
      </w:pPr>
      <w:r>
        <w:rPr>
          <w:rFonts w:ascii="Times New Roman" w:hAnsi="Times New Roman"/>
          <w:sz w:val="21"/>
          <w:szCs w:val="21"/>
        </w:rPr>
        <w:t>单位：公顷（0.0000）</w:t>
      </w:r>
    </w:p>
    <w:tbl>
      <w:tblPr>
        <w:tblStyle w:val="49"/>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425"/>
        <w:gridCol w:w="1172"/>
        <w:gridCol w:w="1420"/>
        <w:gridCol w:w="385"/>
        <w:gridCol w:w="284"/>
        <w:gridCol w:w="752"/>
        <w:gridCol w:w="807"/>
        <w:gridCol w:w="614"/>
        <w:gridCol w:w="1421"/>
      </w:tblGrid>
      <w:tr w14:paraId="16EC3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22" w:type="dxa"/>
            <w:gridSpan w:val="10"/>
            <w:vAlign w:val="center"/>
          </w:tcPr>
          <w:p w14:paraId="5F0D5EF7">
            <w:pPr>
              <w:spacing w:line="240" w:lineRule="auto"/>
              <w:ind w:firstLine="0" w:firstLineChars="0"/>
              <w:rPr>
                <w:rFonts w:ascii="Times New Roman" w:hAnsi="Times New Roman"/>
                <w:b/>
                <w:sz w:val="24"/>
              </w:rPr>
            </w:pPr>
            <w:r>
              <w:rPr>
                <w:rFonts w:ascii="Times New Roman" w:hAnsi="Times New Roman"/>
                <w:b/>
                <w:sz w:val="24"/>
              </w:rPr>
              <w:t>一、集中建设区域现状情况</w:t>
            </w:r>
          </w:p>
        </w:tc>
      </w:tr>
      <w:tr w14:paraId="0D4C9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7" w:type="dxa"/>
            <w:gridSpan w:val="2"/>
            <w:vAlign w:val="center"/>
          </w:tcPr>
          <w:p w14:paraId="7DCF2631">
            <w:pPr>
              <w:spacing w:line="240" w:lineRule="auto"/>
              <w:ind w:firstLine="0" w:firstLineChars="0"/>
              <w:rPr>
                <w:rFonts w:ascii="Times New Roman" w:hAnsi="Times New Roman"/>
                <w:sz w:val="24"/>
              </w:rPr>
            </w:pPr>
            <w:r>
              <w:rPr>
                <w:rFonts w:ascii="Times New Roman" w:hAnsi="Times New Roman"/>
                <w:sz w:val="24"/>
              </w:rPr>
              <w:t>位置</w:t>
            </w:r>
          </w:p>
        </w:tc>
        <w:tc>
          <w:tcPr>
            <w:tcW w:w="6855" w:type="dxa"/>
            <w:gridSpan w:val="8"/>
            <w:vAlign w:val="center"/>
          </w:tcPr>
          <w:p w14:paraId="1656EE97">
            <w:pPr>
              <w:spacing w:line="240" w:lineRule="auto"/>
              <w:ind w:firstLine="0" w:firstLineChars="0"/>
              <w:rPr>
                <w:rFonts w:ascii="Times New Roman" w:hAnsi="Times New Roman"/>
                <w:sz w:val="24"/>
              </w:rPr>
            </w:pPr>
            <w:r>
              <w:rPr>
                <w:rFonts w:ascii="Times New Roman" w:hAnsi="Times New Roman"/>
                <w:sz w:val="24"/>
              </w:rPr>
              <w:t>池州市青阳县十里岗村</w:t>
            </w:r>
          </w:p>
        </w:tc>
      </w:tr>
      <w:tr w14:paraId="2EC0A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7" w:type="dxa"/>
            <w:gridSpan w:val="2"/>
            <w:vAlign w:val="center"/>
          </w:tcPr>
          <w:p w14:paraId="06FCC6C7">
            <w:pPr>
              <w:spacing w:line="240" w:lineRule="auto"/>
              <w:ind w:firstLine="0" w:firstLineChars="0"/>
              <w:rPr>
                <w:rFonts w:ascii="Times New Roman" w:hAnsi="Times New Roman"/>
                <w:sz w:val="24"/>
              </w:rPr>
            </w:pPr>
            <w:r>
              <w:rPr>
                <w:rFonts w:ascii="Times New Roman" w:hAnsi="Times New Roman"/>
                <w:sz w:val="24"/>
              </w:rPr>
              <w:t>范围</w:t>
            </w:r>
          </w:p>
        </w:tc>
        <w:tc>
          <w:tcPr>
            <w:tcW w:w="6855" w:type="dxa"/>
            <w:gridSpan w:val="8"/>
            <w:vAlign w:val="center"/>
          </w:tcPr>
          <w:p w14:paraId="7768AD89">
            <w:pPr>
              <w:spacing w:line="240" w:lineRule="auto"/>
              <w:ind w:firstLine="0" w:firstLineChars="0"/>
              <w:rPr>
                <w:rFonts w:ascii="Times New Roman" w:hAnsi="Times New Roman"/>
                <w:sz w:val="24"/>
              </w:rPr>
            </w:pPr>
            <w:r>
              <w:rPr>
                <w:rFonts w:ascii="Times New Roman" w:hAnsi="Times New Roman"/>
                <w:sz w:val="24"/>
              </w:rPr>
              <w:t>东至木镇镇界，南至G318，西至锦鹏钢构，北至驾校、新木路</w:t>
            </w:r>
          </w:p>
        </w:tc>
      </w:tr>
      <w:tr w14:paraId="08941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tcBorders>
              <w:right w:val="single" w:color="auto" w:sz="4" w:space="0"/>
            </w:tcBorders>
            <w:vAlign w:val="center"/>
          </w:tcPr>
          <w:p w14:paraId="0AD948BA">
            <w:pPr>
              <w:spacing w:line="240" w:lineRule="auto"/>
              <w:ind w:firstLine="0" w:firstLineChars="0"/>
              <w:rPr>
                <w:rFonts w:ascii="Times New Roman" w:hAnsi="Times New Roman"/>
                <w:sz w:val="24"/>
              </w:rPr>
            </w:pPr>
            <w:r>
              <w:rPr>
                <w:rFonts w:ascii="Times New Roman" w:hAnsi="Times New Roman"/>
                <w:sz w:val="24"/>
              </w:rPr>
              <w:t>土地利用现状</w:t>
            </w:r>
          </w:p>
        </w:tc>
        <w:tc>
          <w:tcPr>
            <w:tcW w:w="1597" w:type="dxa"/>
            <w:gridSpan w:val="2"/>
            <w:vMerge w:val="restart"/>
            <w:tcBorders>
              <w:top w:val="single" w:color="auto" w:sz="4" w:space="0"/>
              <w:left w:val="single" w:color="auto" w:sz="4" w:space="0"/>
              <w:bottom w:val="single" w:color="auto" w:sz="4" w:space="0"/>
              <w:right w:val="single" w:color="auto" w:sz="4" w:space="0"/>
            </w:tcBorders>
            <w:vAlign w:val="center"/>
          </w:tcPr>
          <w:p w14:paraId="56321A34">
            <w:pPr>
              <w:spacing w:line="240" w:lineRule="auto"/>
              <w:ind w:firstLine="0" w:firstLineChars="0"/>
              <w:rPr>
                <w:rFonts w:ascii="Times New Roman" w:hAnsi="Times New Roman"/>
                <w:sz w:val="24"/>
              </w:rPr>
            </w:pPr>
            <w:r>
              <w:rPr>
                <w:rFonts w:ascii="Times New Roman" w:hAnsi="Times New Roman"/>
                <w:sz w:val="24"/>
              </w:rPr>
              <w:t>地类</w:t>
            </w:r>
          </w:p>
        </w:tc>
        <w:tc>
          <w:tcPr>
            <w:tcW w:w="5683" w:type="dxa"/>
            <w:gridSpan w:val="7"/>
            <w:tcBorders>
              <w:top w:val="nil"/>
              <w:left w:val="single" w:color="auto" w:sz="4" w:space="0"/>
              <w:bottom w:val="nil"/>
              <w:right w:val="single" w:color="auto" w:sz="4" w:space="0"/>
            </w:tcBorders>
            <w:vAlign w:val="center"/>
          </w:tcPr>
          <w:p w14:paraId="26136C4B">
            <w:pPr>
              <w:spacing w:line="240" w:lineRule="auto"/>
              <w:ind w:firstLine="0" w:firstLineChars="0"/>
              <w:rPr>
                <w:rFonts w:ascii="Times New Roman" w:hAnsi="Times New Roman"/>
                <w:b/>
                <w:sz w:val="24"/>
              </w:rPr>
            </w:pPr>
            <w:r>
              <w:rPr>
                <w:rFonts w:ascii="Times New Roman" w:hAnsi="Times New Roman"/>
                <w:b/>
                <w:sz w:val="24"/>
              </w:rPr>
              <mc:AlternateContent>
                <mc:Choice Requires="wps">
                  <w:drawing>
                    <wp:anchor distT="0" distB="0" distL="114300" distR="114300" simplePos="0" relativeHeight="251660288" behindDoc="0" locked="0" layoutInCell="1" allowOverlap="1">
                      <wp:simplePos x="0" y="0"/>
                      <wp:positionH relativeFrom="column">
                        <wp:posOffset>99060</wp:posOffset>
                      </wp:positionH>
                      <wp:positionV relativeFrom="paragraph">
                        <wp:posOffset>45085</wp:posOffset>
                      </wp:positionV>
                      <wp:extent cx="604520" cy="354330"/>
                      <wp:effectExtent l="0" t="0" r="0" b="0"/>
                      <wp:wrapNone/>
                      <wp:docPr id="10" name="矩形 10"/>
                      <wp:cNvGraphicFramePr/>
                      <a:graphic xmlns:a="http://schemas.openxmlformats.org/drawingml/2006/main">
                        <a:graphicData uri="http://schemas.microsoft.com/office/word/2010/wordprocessingShape">
                          <wps:wsp>
                            <wps:cNvSpPr>
                              <a:spLocks noChangeArrowheads="1"/>
                            </wps:cNvSpPr>
                            <wps:spPr bwMode="auto">
                              <a:xfrm>
                                <a:off x="0" y="0"/>
                                <a:ext cx="604520" cy="354330"/>
                              </a:xfrm>
                              <a:prstGeom prst="rect">
                                <a:avLst/>
                              </a:prstGeom>
                              <a:noFill/>
                              <a:ln>
                                <a:noFill/>
                              </a:ln>
                            </wps:spPr>
                            <wps:txbx>
                              <w:txbxContent>
                                <w:p w14:paraId="52BDBEBB">
                                  <w:pPr>
                                    <w:spacing w:line="240" w:lineRule="auto"/>
                                    <w:ind w:firstLine="0" w:firstLineChars="0"/>
                                    <w:rPr>
                                      <w:sz w:val="24"/>
                                    </w:rPr>
                                  </w:pPr>
                                  <w:r>
                                    <w:rPr>
                                      <w:rFonts w:hint="eastAsia"/>
                                      <w:sz w:val="24"/>
                                    </w:rPr>
                                    <w:t>面积</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8pt;margin-top:3.55pt;height:27.9pt;width:47.6pt;z-index:251660288;mso-width-relative:page;mso-height-relative:page;" filled="f" stroked="f" coordsize="21600,21600" o:gfxdata="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XtX/jXAAAABwEAAA8AAAAAAAAAAQAgAAAA&#10;IgAAAGRycy9kb3ducmV2LnhtbFBLAQIUABQAAAAIAIdO4kAnBjcZDAIAAAkEAAAOAAAAAAAAAAEA&#10;IAAAACYBAABkcnMvZTJvRG9jLnhtbFBLBQYAAAAABgAGAFkBAACkBQAAAAA=&#10;">
                      <v:fill on="f" focussize="0,0"/>
                      <v:stroke on="f"/>
                      <v:imagedata o:title=""/>
                      <o:lock v:ext="edit" aspectratio="f"/>
                      <v:textbox>
                        <w:txbxContent>
                          <w:p w14:paraId="52BDBEBB">
                            <w:pPr>
                              <w:spacing w:line="240" w:lineRule="auto"/>
                              <w:ind w:firstLine="0" w:firstLineChars="0"/>
                              <w:rPr>
                                <w:sz w:val="24"/>
                              </w:rPr>
                            </w:pPr>
                            <w:r>
                              <w:rPr>
                                <w:rFonts w:hint="eastAsia"/>
                                <w:sz w:val="24"/>
                              </w:rPr>
                              <w:t>面积</w:t>
                            </w:r>
                          </w:p>
                        </w:txbxContent>
                      </v:textbox>
                    </v:rect>
                  </w:pict>
                </mc:Fallback>
              </mc:AlternateContent>
            </w:r>
          </w:p>
        </w:tc>
      </w:tr>
      <w:tr w14:paraId="6F7D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tcBorders>
              <w:right w:val="single" w:color="auto" w:sz="4" w:space="0"/>
            </w:tcBorders>
            <w:vAlign w:val="center"/>
          </w:tcPr>
          <w:p w14:paraId="588C1350">
            <w:pPr>
              <w:spacing w:line="240" w:lineRule="auto"/>
              <w:ind w:firstLine="0" w:firstLineChars="0"/>
              <w:rPr>
                <w:rFonts w:ascii="Times New Roman" w:hAnsi="Times New Roman"/>
                <w:sz w:val="24"/>
              </w:rPr>
            </w:pPr>
          </w:p>
        </w:tc>
        <w:tc>
          <w:tcPr>
            <w:tcW w:w="1597" w:type="dxa"/>
            <w:gridSpan w:val="2"/>
            <w:vMerge w:val="continue"/>
            <w:tcBorders>
              <w:top w:val="single" w:color="auto" w:sz="4" w:space="0"/>
              <w:left w:val="single" w:color="auto" w:sz="4" w:space="0"/>
              <w:bottom w:val="single" w:color="auto" w:sz="4" w:space="0"/>
              <w:right w:val="single" w:color="auto" w:sz="4" w:space="0"/>
            </w:tcBorders>
            <w:vAlign w:val="center"/>
          </w:tcPr>
          <w:p w14:paraId="32E2D42F">
            <w:pPr>
              <w:spacing w:line="240" w:lineRule="auto"/>
              <w:ind w:firstLine="0" w:firstLineChars="0"/>
              <w:rPr>
                <w:rFonts w:ascii="Times New Roman" w:hAnsi="Times New Roman"/>
                <w:sz w:val="24"/>
              </w:rPr>
            </w:pPr>
          </w:p>
        </w:tc>
        <w:tc>
          <w:tcPr>
            <w:tcW w:w="1420" w:type="dxa"/>
            <w:tcBorders>
              <w:top w:val="nil"/>
              <w:left w:val="single" w:color="auto" w:sz="4" w:space="0"/>
              <w:bottom w:val="single" w:color="auto" w:sz="4" w:space="0"/>
              <w:right w:val="single" w:color="auto" w:sz="4" w:space="0"/>
            </w:tcBorders>
            <w:vAlign w:val="center"/>
          </w:tcPr>
          <w:p w14:paraId="3963ACEC">
            <w:pPr>
              <w:spacing w:line="240" w:lineRule="auto"/>
              <w:ind w:firstLine="0" w:firstLineChars="0"/>
              <w:rPr>
                <w:rFonts w:ascii="Times New Roman" w:hAnsi="Times New Roman"/>
                <w:b/>
                <w:sz w:val="24"/>
              </w:rPr>
            </w:pPr>
          </w:p>
        </w:tc>
        <w:tc>
          <w:tcPr>
            <w:tcW w:w="1421" w:type="dxa"/>
            <w:gridSpan w:val="3"/>
            <w:tcBorders>
              <w:top w:val="single" w:color="auto" w:sz="4" w:space="0"/>
              <w:left w:val="single" w:color="auto" w:sz="4" w:space="0"/>
              <w:bottom w:val="single" w:color="auto" w:sz="4" w:space="0"/>
              <w:right w:val="single" w:color="auto" w:sz="4" w:space="0"/>
            </w:tcBorders>
            <w:vAlign w:val="center"/>
          </w:tcPr>
          <w:p w14:paraId="061A3736">
            <w:pPr>
              <w:spacing w:line="240" w:lineRule="auto"/>
              <w:ind w:firstLine="0" w:firstLineChars="0"/>
              <w:rPr>
                <w:rFonts w:ascii="Times New Roman" w:hAnsi="Times New Roman"/>
                <w:sz w:val="24"/>
              </w:rPr>
            </w:pPr>
            <w:r>
              <w:rPr>
                <w:rFonts w:ascii="Times New Roman" w:hAnsi="Times New Roman"/>
                <w:sz w:val="24"/>
              </w:rPr>
              <w:t>国有土地</w:t>
            </w:r>
          </w:p>
        </w:tc>
        <w:tc>
          <w:tcPr>
            <w:tcW w:w="1421" w:type="dxa"/>
            <w:gridSpan w:val="2"/>
            <w:tcBorders>
              <w:left w:val="single" w:color="auto" w:sz="4" w:space="0"/>
            </w:tcBorders>
            <w:vAlign w:val="center"/>
          </w:tcPr>
          <w:p w14:paraId="3E75EEFA">
            <w:pPr>
              <w:spacing w:line="240" w:lineRule="auto"/>
              <w:ind w:firstLine="0" w:firstLineChars="0"/>
              <w:rPr>
                <w:rFonts w:ascii="Times New Roman" w:hAnsi="Times New Roman"/>
                <w:sz w:val="24"/>
              </w:rPr>
            </w:pPr>
            <w:r>
              <w:rPr>
                <w:rFonts w:ascii="Times New Roman" w:hAnsi="Times New Roman"/>
                <w:sz w:val="24"/>
              </w:rPr>
              <w:t>集体土地</w:t>
            </w:r>
          </w:p>
        </w:tc>
        <w:tc>
          <w:tcPr>
            <w:tcW w:w="1421" w:type="dxa"/>
            <w:vAlign w:val="center"/>
          </w:tcPr>
          <w:p w14:paraId="767946A6">
            <w:pPr>
              <w:spacing w:line="240" w:lineRule="auto"/>
              <w:ind w:firstLine="0" w:firstLineChars="0"/>
              <w:rPr>
                <w:rFonts w:ascii="Times New Roman" w:hAnsi="Times New Roman"/>
                <w:sz w:val="24"/>
              </w:rPr>
            </w:pPr>
            <w:r>
              <w:rPr>
                <w:rFonts w:ascii="Times New Roman" w:hAnsi="Times New Roman"/>
                <w:sz w:val="24"/>
              </w:rPr>
              <w:t>拟征收土地</w:t>
            </w:r>
          </w:p>
        </w:tc>
      </w:tr>
      <w:tr w14:paraId="711DC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vAlign w:val="center"/>
          </w:tcPr>
          <w:p w14:paraId="1CF08B72">
            <w:pPr>
              <w:spacing w:line="240" w:lineRule="auto"/>
              <w:ind w:firstLine="0" w:firstLineChars="0"/>
              <w:rPr>
                <w:rFonts w:ascii="Times New Roman" w:hAnsi="Times New Roman"/>
                <w:sz w:val="24"/>
              </w:rPr>
            </w:pPr>
          </w:p>
        </w:tc>
        <w:tc>
          <w:tcPr>
            <w:tcW w:w="1597" w:type="dxa"/>
            <w:gridSpan w:val="2"/>
            <w:tcBorders>
              <w:top w:val="single" w:color="auto" w:sz="4" w:space="0"/>
              <w:right w:val="single" w:color="auto" w:sz="4" w:space="0"/>
            </w:tcBorders>
            <w:vAlign w:val="center"/>
          </w:tcPr>
          <w:p w14:paraId="28320459">
            <w:pPr>
              <w:spacing w:line="240" w:lineRule="auto"/>
              <w:ind w:firstLine="0" w:firstLineChars="0"/>
              <w:rPr>
                <w:rFonts w:ascii="Times New Roman" w:hAnsi="Times New Roman"/>
                <w:sz w:val="24"/>
              </w:rPr>
            </w:pPr>
            <w:r>
              <w:rPr>
                <w:rFonts w:ascii="Times New Roman" w:hAnsi="Times New Roman"/>
                <w:sz w:val="24"/>
              </w:rPr>
              <w:t>农用地</w:t>
            </w:r>
          </w:p>
        </w:tc>
        <w:tc>
          <w:tcPr>
            <w:tcW w:w="1420" w:type="dxa"/>
            <w:tcBorders>
              <w:top w:val="single" w:color="auto" w:sz="4" w:space="0"/>
              <w:left w:val="single" w:color="auto" w:sz="4" w:space="0"/>
              <w:bottom w:val="single" w:color="auto" w:sz="4" w:space="0"/>
              <w:right w:val="single" w:color="auto" w:sz="4" w:space="0"/>
            </w:tcBorders>
            <w:vAlign w:val="center"/>
          </w:tcPr>
          <w:p w14:paraId="344D85F0">
            <w:pPr>
              <w:spacing w:line="240" w:lineRule="auto"/>
              <w:ind w:firstLine="0" w:firstLineChars="0"/>
              <w:jc w:val="center"/>
              <w:rPr>
                <w:rFonts w:ascii="Times New Roman" w:hAnsi="Times New Roman"/>
                <w:sz w:val="24"/>
              </w:rPr>
            </w:pPr>
            <w:r>
              <w:rPr>
                <w:rFonts w:ascii="Times New Roman" w:hAnsi="Times New Roman"/>
                <w:sz w:val="24"/>
              </w:rPr>
              <w:t>19.6861</w:t>
            </w:r>
          </w:p>
        </w:tc>
        <w:tc>
          <w:tcPr>
            <w:tcW w:w="1421" w:type="dxa"/>
            <w:gridSpan w:val="3"/>
            <w:tcBorders>
              <w:left w:val="single" w:color="auto" w:sz="4" w:space="0"/>
            </w:tcBorders>
            <w:vAlign w:val="center"/>
          </w:tcPr>
          <w:p w14:paraId="09318050">
            <w:pPr>
              <w:spacing w:line="240" w:lineRule="auto"/>
              <w:ind w:firstLine="0" w:firstLineChars="0"/>
              <w:jc w:val="center"/>
              <w:rPr>
                <w:rFonts w:ascii="Times New Roman" w:hAnsi="Times New Roman"/>
                <w:sz w:val="24"/>
              </w:rPr>
            </w:pPr>
            <w:r>
              <w:rPr>
                <w:rFonts w:ascii="Times New Roman" w:hAnsi="Times New Roman"/>
                <w:sz w:val="24"/>
              </w:rPr>
              <w:t>9.1276</w:t>
            </w:r>
          </w:p>
        </w:tc>
        <w:tc>
          <w:tcPr>
            <w:tcW w:w="1421" w:type="dxa"/>
            <w:gridSpan w:val="2"/>
            <w:vAlign w:val="center"/>
          </w:tcPr>
          <w:p w14:paraId="559A2B0A">
            <w:pPr>
              <w:spacing w:line="240" w:lineRule="auto"/>
              <w:ind w:firstLine="0" w:firstLineChars="0"/>
              <w:jc w:val="center"/>
              <w:rPr>
                <w:rFonts w:ascii="Times New Roman" w:hAnsi="Times New Roman"/>
                <w:sz w:val="24"/>
              </w:rPr>
            </w:pPr>
            <w:r>
              <w:rPr>
                <w:rFonts w:ascii="Times New Roman" w:hAnsi="Times New Roman"/>
                <w:sz w:val="24"/>
              </w:rPr>
              <w:t>10.5585</w:t>
            </w:r>
          </w:p>
        </w:tc>
        <w:tc>
          <w:tcPr>
            <w:tcW w:w="1421" w:type="dxa"/>
            <w:vAlign w:val="center"/>
          </w:tcPr>
          <w:p w14:paraId="6EDFD32C">
            <w:pPr>
              <w:spacing w:line="240" w:lineRule="auto"/>
              <w:ind w:firstLine="0" w:firstLineChars="0"/>
              <w:jc w:val="center"/>
              <w:rPr>
                <w:rFonts w:ascii="Times New Roman" w:hAnsi="Times New Roman"/>
                <w:sz w:val="24"/>
              </w:rPr>
            </w:pPr>
            <w:r>
              <w:rPr>
                <w:rFonts w:ascii="Times New Roman" w:hAnsi="Times New Roman"/>
                <w:sz w:val="24"/>
              </w:rPr>
              <w:t>10.5585</w:t>
            </w:r>
          </w:p>
        </w:tc>
      </w:tr>
      <w:tr w14:paraId="79FD1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vAlign w:val="center"/>
          </w:tcPr>
          <w:p w14:paraId="617B654D">
            <w:pPr>
              <w:spacing w:line="240" w:lineRule="auto"/>
              <w:ind w:firstLine="0" w:firstLineChars="0"/>
              <w:rPr>
                <w:rFonts w:ascii="Times New Roman" w:hAnsi="Times New Roman"/>
                <w:sz w:val="24"/>
              </w:rPr>
            </w:pPr>
          </w:p>
        </w:tc>
        <w:tc>
          <w:tcPr>
            <w:tcW w:w="1597" w:type="dxa"/>
            <w:gridSpan w:val="2"/>
            <w:vAlign w:val="center"/>
          </w:tcPr>
          <w:p w14:paraId="071442E4">
            <w:pPr>
              <w:spacing w:line="240" w:lineRule="auto"/>
              <w:ind w:firstLine="0" w:firstLineChars="0"/>
              <w:rPr>
                <w:rFonts w:ascii="Times New Roman" w:hAnsi="Times New Roman"/>
                <w:sz w:val="24"/>
              </w:rPr>
            </w:pPr>
            <w:r>
              <w:rPr>
                <w:rFonts w:ascii="Times New Roman" w:hAnsi="Times New Roman"/>
                <w:sz w:val="24"/>
              </w:rPr>
              <w:t>建设用地</w:t>
            </w:r>
          </w:p>
        </w:tc>
        <w:tc>
          <w:tcPr>
            <w:tcW w:w="1420" w:type="dxa"/>
            <w:tcBorders>
              <w:top w:val="single" w:color="auto" w:sz="4" w:space="0"/>
            </w:tcBorders>
            <w:vAlign w:val="center"/>
          </w:tcPr>
          <w:p w14:paraId="2CC6CDA3">
            <w:pPr>
              <w:spacing w:line="240" w:lineRule="auto"/>
              <w:ind w:firstLine="0" w:firstLineChars="0"/>
              <w:jc w:val="center"/>
              <w:rPr>
                <w:rFonts w:ascii="Times New Roman" w:hAnsi="Times New Roman"/>
                <w:sz w:val="24"/>
              </w:rPr>
            </w:pPr>
            <w:r>
              <w:rPr>
                <w:rFonts w:ascii="Times New Roman" w:hAnsi="Times New Roman"/>
                <w:sz w:val="24"/>
              </w:rPr>
              <w:t>71.8901</w:t>
            </w:r>
          </w:p>
        </w:tc>
        <w:tc>
          <w:tcPr>
            <w:tcW w:w="1421" w:type="dxa"/>
            <w:gridSpan w:val="3"/>
            <w:vAlign w:val="center"/>
          </w:tcPr>
          <w:p w14:paraId="3D39A808">
            <w:pPr>
              <w:spacing w:line="240" w:lineRule="auto"/>
              <w:ind w:firstLine="0" w:firstLineChars="0"/>
              <w:jc w:val="center"/>
              <w:rPr>
                <w:rFonts w:ascii="Times New Roman" w:hAnsi="Times New Roman"/>
                <w:sz w:val="24"/>
              </w:rPr>
            </w:pPr>
            <w:r>
              <w:rPr>
                <w:rFonts w:ascii="Times New Roman" w:hAnsi="Times New Roman"/>
                <w:sz w:val="24"/>
              </w:rPr>
              <w:t>62.6061</w:t>
            </w:r>
          </w:p>
        </w:tc>
        <w:tc>
          <w:tcPr>
            <w:tcW w:w="1421" w:type="dxa"/>
            <w:gridSpan w:val="2"/>
            <w:vAlign w:val="center"/>
          </w:tcPr>
          <w:p w14:paraId="422B8862">
            <w:pPr>
              <w:spacing w:line="240" w:lineRule="auto"/>
              <w:ind w:firstLine="0" w:firstLineChars="0"/>
              <w:jc w:val="center"/>
              <w:rPr>
                <w:rFonts w:ascii="Times New Roman" w:hAnsi="Times New Roman"/>
                <w:sz w:val="24"/>
              </w:rPr>
            </w:pPr>
            <w:r>
              <w:rPr>
                <w:rFonts w:ascii="Times New Roman" w:hAnsi="Times New Roman"/>
                <w:sz w:val="24"/>
              </w:rPr>
              <w:t>9.2840</w:t>
            </w:r>
          </w:p>
        </w:tc>
        <w:tc>
          <w:tcPr>
            <w:tcW w:w="1421" w:type="dxa"/>
            <w:vAlign w:val="center"/>
          </w:tcPr>
          <w:p w14:paraId="215CE864">
            <w:pPr>
              <w:spacing w:line="240" w:lineRule="auto"/>
              <w:ind w:firstLine="0" w:firstLineChars="0"/>
              <w:jc w:val="center"/>
              <w:rPr>
                <w:rFonts w:ascii="Times New Roman" w:hAnsi="Times New Roman"/>
                <w:sz w:val="24"/>
              </w:rPr>
            </w:pPr>
            <w:r>
              <w:rPr>
                <w:rFonts w:ascii="Times New Roman" w:hAnsi="Times New Roman"/>
                <w:sz w:val="24"/>
              </w:rPr>
              <w:t>9.2840</w:t>
            </w:r>
          </w:p>
        </w:tc>
      </w:tr>
      <w:tr w14:paraId="57BD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vAlign w:val="center"/>
          </w:tcPr>
          <w:p w14:paraId="4CE61E43">
            <w:pPr>
              <w:spacing w:line="240" w:lineRule="auto"/>
              <w:ind w:firstLine="0" w:firstLineChars="0"/>
              <w:rPr>
                <w:rFonts w:ascii="Times New Roman" w:hAnsi="Times New Roman"/>
                <w:sz w:val="24"/>
              </w:rPr>
            </w:pPr>
          </w:p>
        </w:tc>
        <w:tc>
          <w:tcPr>
            <w:tcW w:w="1597" w:type="dxa"/>
            <w:gridSpan w:val="2"/>
            <w:vAlign w:val="center"/>
          </w:tcPr>
          <w:p w14:paraId="6A88EBBC">
            <w:pPr>
              <w:spacing w:line="240" w:lineRule="auto"/>
              <w:ind w:firstLine="0" w:firstLineChars="0"/>
              <w:rPr>
                <w:rFonts w:ascii="Times New Roman" w:hAnsi="Times New Roman"/>
                <w:sz w:val="24"/>
              </w:rPr>
            </w:pPr>
            <w:r>
              <w:rPr>
                <w:rFonts w:ascii="Times New Roman" w:hAnsi="Times New Roman"/>
                <w:sz w:val="24"/>
              </w:rPr>
              <w:t>未利用地</w:t>
            </w:r>
          </w:p>
        </w:tc>
        <w:tc>
          <w:tcPr>
            <w:tcW w:w="1420" w:type="dxa"/>
            <w:vAlign w:val="center"/>
          </w:tcPr>
          <w:p w14:paraId="7C58B66B">
            <w:pPr>
              <w:spacing w:line="240" w:lineRule="auto"/>
              <w:ind w:firstLine="0" w:firstLineChars="0"/>
              <w:jc w:val="center"/>
              <w:rPr>
                <w:rFonts w:ascii="Times New Roman" w:hAnsi="Times New Roman"/>
                <w:sz w:val="24"/>
              </w:rPr>
            </w:pPr>
            <w:r>
              <w:rPr>
                <w:rFonts w:ascii="Times New Roman" w:hAnsi="Times New Roman"/>
                <w:sz w:val="24"/>
              </w:rPr>
              <w:t>0</w:t>
            </w:r>
          </w:p>
        </w:tc>
        <w:tc>
          <w:tcPr>
            <w:tcW w:w="1421" w:type="dxa"/>
            <w:gridSpan w:val="3"/>
            <w:vAlign w:val="center"/>
          </w:tcPr>
          <w:p w14:paraId="2BA98273">
            <w:pPr>
              <w:spacing w:line="240" w:lineRule="auto"/>
              <w:ind w:firstLine="0" w:firstLineChars="0"/>
              <w:jc w:val="center"/>
              <w:rPr>
                <w:rFonts w:ascii="Times New Roman" w:hAnsi="Times New Roman"/>
                <w:sz w:val="24"/>
              </w:rPr>
            </w:pPr>
            <w:r>
              <w:rPr>
                <w:rFonts w:ascii="Times New Roman" w:hAnsi="Times New Roman"/>
                <w:sz w:val="24"/>
              </w:rPr>
              <w:t>0</w:t>
            </w:r>
          </w:p>
        </w:tc>
        <w:tc>
          <w:tcPr>
            <w:tcW w:w="1421" w:type="dxa"/>
            <w:gridSpan w:val="2"/>
            <w:vAlign w:val="center"/>
          </w:tcPr>
          <w:p w14:paraId="4FE2F324">
            <w:pPr>
              <w:spacing w:line="240" w:lineRule="auto"/>
              <w:ind w:firstLine="0" w:firstLineChars="0"/>
              <w:jc w:val="center"/>
              <w:rPr>
                <w:rFonts w:ascii="Times New Roman" w:hAnsi="Times New Roman"/>
                <w:sz w:val="24"/>
              </w:rPr>
            </w:pPr>
            <w:r>
              <w:rPr>
                <w:rFonts w:ascii="Times New Roman" w:hAnsi="Times New Roman"/>
                <w:sz w:val="24"/>
              </w:rPr>
              <w:t>0</w:t>
            </w:r>
          </w:p>
        </w:tc>
        <w:tc>
          <w:tcPr>
            <w:tcW w:w="1421" w:type="dxa"/>
            <w:vAlign w:val="center"/>
          </w:tcPr>
          <w:p w14:paraId="4B693FFB">
            <w:pPr>
              <w:spacing w:line="240" w:lineRule="auto"/>
              <w:ind w:firstLine="0" w:firstLineChars="0"/>
              <w:jc w:val="center"/>
              <w:rPr>
                <w:rFonts w:ascii="Times New Roman" w:hAnsi="Times New Roman"/>
                <w:sz w:val="24"/>
              </w:rPr>
            </w:pPr>
            <w:r>
              <w:rPr>
                <w:rFonts w:ascii="Times New Roman" w:hAnsi="Times New Roman"/>
                <w:sz w:val="24"/>
              </w:rPr>
              <w:t>0</w:t>
            </w:r>
          </w:p>
        </w:tc>
      </w:tr>
      <w:tr w14:paraId="787D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vAlign w:val="center"/>
          </w:tcPr>
          <w:p w14:paraId="06CB92A3">
            <w:pPr>
              <w:spacing w:line="240" w:lineRule="auto"/>
              <w:ind w:firstLine="0" w:firstLineChars="0"/>
              <w:rPr>
                <w:rFonts w:ascii="Times New Roman" w:hAnsi="Times New Roman"/>
                <w:sz w:val="24"/>
              </w:rPr>
            </w:pPr>
          </w:p>
        </w:tc>
        <w:tc>
          <w:tcPr>
            <w:tcW w:w="1597" w:type="dxa"/>
            <w:gridSpan w:val="2"/>
            <w:vAlign w:val="center"/>
          </w:tcPr>
          <w:p w14:paraId="3C86EFC4">
            <w:pPr>
              <w:spacing w:line="240" w:lineRule="auto"/>
              <w:ind w:firstLine="0" w:firstLineChars="0"/>
              <w:rPr>
                <w:rFonts w:ascii="Times New Roman" w:hAnsi="Times New Roman"/>
                <w:sz w:val="24"/>
              </w:rPr>
            </w:pPr>
            <w:r>
              <w:rPr>
                <w:rFonts w:ascii="Times New Roman" w:hAnsi="Times New Roman"/>
                <w:sz w:val="24"/>
              </w:rPr>
              <w:t>共计</w:t>
            </w:r>
          </w:p>
        </w:tc>
        <w:tc>
          <w:tcPr>
            <w:tcW w:w="1420" w:type="dxa"/>
            <w:vAlign w:val="center"/>
          </w:tcPr>
          <w:p w14:paraId="3D39C98F">
            <w:pPr>
              <w:spacing w:line="240" w:lineRule="auto"/>
              <w:ind w:firstLine="0" w:firstLineChars="0"/>
              <w:jc w:val="center"/>
              <w:rPr>
                <w:rFonts w:ascii="Times New Roman" w:hAnsi="Times New Roman"/>
                <w:sz w:val="24"/>
              </w:rPr>
            </w:pPr>
            <w:r>
              <w:rPr>
                <w:rFonts w:ascii="Times New Roman" w:hAnsi="Times New Roman"/>
                <w:sz w:val="24"/>
              </w:rPr>
              <w:t>91.5762</w:t>
            </w:r>
          </w:p>
        </w:tc>
        <w:tc>
          <w:tcPr>
            <w:tcW w:w="1421" w:type="dxa"/>
            <w:gridSpan w:val="3"/>
            <w:vAlign w:val="center"/>
          </w:tcPr>
          <w:p w14:paraId="71D9C4A5">
            <w:pPr>
              <w:spacing w:line="240" w:lineRule="auto"/>
              <w:ind w:firstLine="0" w:firstLineChars="0"/>
              <w:jc w:val="center"/>
              <w:rPr>
                <w:rFonts w:ascii="Times New Roman" w:hAnsi="Times New Roman"/>
                <w:sz w:val="24"/>
              </w:rPr>
            </w:pPr>
            <w:r>
              <w:rPr>
                <w:rFonts w:ascii="Times New Roman" w:hAnsi="Times New Roman"/>
                <w:sz w:val="24"/>
              </w:rPr>
              <w:t>71.7337</w:t>
            </w:r>
          </w:p>
        </w:tc>
        <w:tc>
          <w:tcPr>
            <w:tcW w:w="1421" w:type="dxa"/>
            <w:gridSpan w:val="2"/>
            <w:vAlign w:val="center"/>
          </w:tcPr>
          <w:p w14:paraId="774A6774">
            <w:pPr>
              <w:spacing w:line="240" w:lineRule="auto"/>
              <w:ind w:firstLine="0" w:firstLineChars="0"/>
              <w:jc w:val="center"/>
              <w:rPr>
                <w:rFonts w:ascii="Times New Roman" w:hAnsi="Times New Roman"/>
                <w:sz w:val="24"/>
              </w:rPr>
            </w:pPr>
            <w:r>
              <w:rPr>
                <w:rFonts w:ascii="Times New Roman" w:hAnsi="Times New Roman"/>
                <w:sz w:val="24"/>
              </w:rPr>
              <w:t>19.8425</w:t>
            </w:r>
          </w:p>
        </w:tc>
        <w:tc>
          <w:tcPr>
            <w:tcW w:w="1421" w:type="dxa"/>
            <w:vAlign w:val="center"/>
          </w:tcPr>
          <w:p w14:paraId="2A8BC9D1">
            <w:pPr>
              <w:spacing w:line="240" w:lineRule="auto"/>
              <w:ind w:firstLine="0" w:firstLineChars="0"/>
              <w:jc w:val="center"/>
              <w:rPr>
                <w:rFonts w:ascii="Times New Roman" w:hAnsi="Times New Roman"/>
                <w:sz w:val="24"/>
              </w:rPr>
            </w:pPr>
            <w:r>
              <w:rPr>
                <w:rFonts w:ascii="Times New Roman" w:hAnsi="Times New Roman"/>
                <w:sz w:val="24"/>
              </w:rPr>
              <w:t>19.8425</w:t>
            </w:r>
          </w:p>
        </w:tc>
      </w:tr>
      <w:tr w14:paraId="3BB9C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22" w:type="dxa"/>
            <w:gridSpan w:val="10"/>
            <w:vAlign w:val="center"/>
          </w:tcPr>
          <w:p w14:paraId="29EA6072">
            <w:pPr>
              <w:spacing w:line="240" w:lineRule="auto"/>
              <w:ind w:firstLine="0" w:firstLineChars="0"/>
              <w:rPr>
                <w:rFonts w:ascii="Times New Roman" w:hAnsi="Times New Roman"/>
                <w:b/>
                <w:sz w:val="24"/>
              </w:rPr>
            </w:pPr>
            <w:r>
              <w:rPr>
                <w:rFonts w:ascii="Times New Roman" w:hAnsi="Times New Roman"/>
                <w:b/>
                <w:sz w:val="24"/>
              </w:rPr>
              <w:t>二、集中建设区域规划情况</w:t>
            </w:r>
          </w:p>
        </w:tc>
      </w:tr>
      <w:tr w14:paraId="273EC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667" w:type="dxa"/>
            <w:gridSpan w:val="2"/>
            <w:vAlign w:val="center"/>
          </w:tcPr>
          <w:p w14:paraId="6DB7ADEE">
            <w:pPr>
              <w:spacing w:line="240" w:lineRule="auto"/>
              <w:ind w:firstLine="0" w:firstLineChars="0"/>
              <w:rPr>
                <w:rFonts w:ascii="Times New Roman" w:hAnsi="Times New Roman"/>
                <w:b/>
                <w:sz w:val="24"/>
              </w:rPr>
            </w:pPr>
            <w:r>
              <w:rPr>
                <w:rFonts w:ascii="Times New Roman" w:hAnsi="Times New Roman"/>
                <w:sz w:val="24"/>
              </w:rPr>
              <w:t>依据的规划名称</w:t>
            </w:r>
          </w:p>
        </w:tc>
        <w:tc>
          <w:tcPr>
            <w:tcW w:w="6855" w:type="dxa"/>
            <w:gridSpan w:val="8"/>
            <w:vAlign w:val="center"/>
          </w:tcPr>
          <w:p w14:paraId="2AA956A5">
            <w:pPr>
              <w:spacing w:line="240" w:lineRule="auto"/>
              <w:ind w:firstLine="0" w:firstLineChars="0"/>
              <w:rPr>
                <w:rFonts w:ascii="Times New Roman" w:hAnsi="Times New Roman"/>
                <w:b/>
                <w:sz w:val="24"/>
              </w:rPr>
            </w:pPr>
            <w:r>
              <w:rPr>
                <w:rFonts w:ascii="Times New Roman" w:hAnsi="Times New Roman"/>
                <w:sz w:val="24"/>
              </w:rPr>
              <w:t>青阳县国民经济和社会发展第十四个五年规划纲要、青阳县国土空间总体规划（2021-2035年）</w:t>
            </w:r>
          </w:p>
        </w:tc>
      </w:tr>
      <w:tr w14:paraId="42596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242" w:type="dxa"/>
            <w:vMerge w:val="restart"/>
            <w:vAlign w:val="center"/>
          </w:tcPr>
          <w:p w14:paraId="2B55EDD0">
            <w:pPr>
              <w:spacing w:line="240" w:lineRule="auto"/>
              <w:ind w:firstLine="0" w:firstLineChars="0"/>
              <w:rPr>
                <w:rFonts w:ascii="Times New Roman" w:hAnsi="Times New Roman"/>
                <w:sz w:val="24"/>
              </w:rPr>
            </w:pPr>
            <w:r>
              <w:rPr>
                <w:rFonts w:ascii="Times New Roman" w:hAnsi="Times New Roman"/>
                <w:sz w:val="24"/>
              </w:rPr>
              <w:t>片区面积</w:t>
            </w:r>
          </w:p>
        </w:tc>
        <w:tc>
          <w:tcPr>
            <w:tcW w:w="3686" w:type="dxa"/>
            <w:gridSpan w:val="5"/>
            <w:vMerge w:val="restart"/>
            <w:vAlign w:val="center"/>
          </w:tcPr>
          <w:p w14:paraId="297FBF6D">
            <w:pPr>
              <w:spacing w:line="240" w:lineRule="auto"/>
              <w:ind w:firstLine="0" w:firstLineChars="0"/>
              <w:rPr>
                <w:rFonts w:ascii="Times New Roman" w:hAnsi="Times New Roman"/>
                <w:sz w:val="24"/>
              </w:rPr>
            </w:pPr>
            <w:r>
              <w:rPr>
                <w:rFonts w:ascii="Times New Roman" w:hAnsi="Times New Roman"/>
                <w:sz w:val="24"/>
              </w:rPr>
              <w:t>规划主要用途</w:t>
            </w:r>
          </w:p>
        </w:tc>
        <w:tc>
          <w:tcPr>
            <w:tcW w:w="3594" w:type="dxa"/>
            <w:gridSpan w:val="4"/>
            <w:vAlign w:val="center"/>
          </w:tcPr>
          <w:p w14:paraId="74CCFC98">
            <w:pPr>
              <w:spacing w:line="240" w:lineRule="auto"/>
              <w:ind w:firstLine="0" w:firstLineChars="0"/>
              <w:rPr>
                <w:rFonts w:ascii="Times New Roman" w:hAnsi="Times New Roman"/>
                <w:sz w:val="24"/>
              </w:rPr>
            </w:pPr>
            <w:r>
              <w:rPr>
                <w:rFonts w:ascii="Times New Roman" w:hAnsi="Times New Roman"/>
                <w:sz w:val="24"/>
              </w:rPr>
              <w:t>基础设施用地、其他公益性用地</w:t>
            </w:r>
          </w:p>
        </w:tc>
      </w:tr>
      <w:tr w14:paraId="43D1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42" w:type="dxa"/>
            <w:vMerge w:val="continue"/>
            <w:vAlign w:val="center"/>
          </w:tcPr>
          <w:p w14:paraId="389D1994">
            <w:pPr>
              <w:spacing w:line="240" w:lineRule="auto"/>
              <w:ind w:firstLine="0" w:firstLineChars="0"/>
              <w:rPr>
                <w:rFonts w:ascii="Times New Roman" w:hAnsi="Times New Roman"/>
                <w:sz w:val="24"/>
              </w:rPr>
            </w:pPr>
          </w:p>
        </w:tc>
        <w:tc>
          <w:tcPr>
            <w:tcW w:w="3686" w:type="dxa"/>
            <w:gridSpan w:val="5"/>
            <w:vMerge w:val="continue"/>
            <w:vAlign w:val="center"/>
          </w:tcPr>
          <w:p w14:paraId="308C4499">
            <w:pPr>
              <w:spacing w:line="240" w:lineRule="auto"/>
              <w:ind w:firstLine="0" w:firstLineChars="0"/>
              <w:rPr>
                <w:rFonts w:ascii="Times New Roman" w:hAnsi="Times New Roman"/>
                <w:sz w:val="24"/>
              </w:rPr>
            </w:pPr>
          </w:p>
        </w:tc>
        <w:tc>
          <w:tcPr>
            <w:tcW w:w="1559" w:type="dxa"/>
            <w:gridSpan w:val="2"/>
            <w:vAlign w:val="center"/>
          </w:tcPr>
          <w:p w14:paraId="447AC54A">
            <w:pPr>
              <w:spacing w:line="240" w:lineRule="auto"/>
              <w:ind w:firstLine="0" w:firstLineChars="0"/>
              <w:jc w:val="center"/>
              <w:rPr>
                <w:rFonts w:ascii="Times New Roman" w:hAnsi="Times New Roman"/>
                <w:sz w:val="24"/>
              </w:rPr>
            </w:pPr>
            <w:r>
              <w:rPr>
                <w:rFonts w:ascii="Times New Roman" w:hAnsi="Times New Roman"/>
                <w:sz w:val="24"/>
              </w:rPr>
              <w:t>面积</w:t>
            </w:r>
          </w:p>
        </w:tc>
        <w:tc>
          <w:tcPr>
            <w:tcW w:w="2035" w:type="dxa"/>
            <w:gridSpan w:val="2"/>
            <w:vAlign w:val="center"/>
          </w:tcPr>
          <w:p w14:paraId="377CE6E5">
            <w:pPr>
              <w:spacing w:line="240" w:lineRule="auto"/>
              <w:ind w:firstLine="0" w:firstLineChars="0"/>
              <w:jc w:val="center"/>
              <w:rPr>
                <w:rFonts w:ascii="Times New Roman" w:hAnsi="Times New Roman"/>
                <w:sz w:val="24"/>
              </w:rPr>
            </w:pPr>
            <w:r>
              <w:rPr>
                <w:rFonts w:ascii="Times New Roman" w:hAnsi="Times New Roman"/>
                <w:sz w:val="24"/>
              </w:rPr>
              <w:t>占比</w:t>
            </w:r>
          </w:p>
        </w:tc>
      </w:tr>
      <w:tr w14:paraId="67041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42" w:type="dxa"/>
            <w:vAlign w:val="center"/>
          </w:tcPr>
          <w:p w14:paraId="320D3EFC">
            <w:pPr>
              <w:spacing w:line="240" w:lineRule="auto"/>
              <w:ind w:firstLine="0" w:firstLineChars="0"/>
              <w:jc w:val="center"/>
              <w:rPr>
                <w:rFonts w:ascii="Times New Roman" w:hAnsi="Times New Roman"/>
                <w:sz w:val="24"/>
              </w:rPr>
            </w:pPr>
            <w:r>
              <w:rPr>
                <w:rFonts w:ascii="Times New Roman" w:hAnsi="Times New Roman"/>
                <w:sz w:val="24"/>
              </w:rPr>
              <w:t>91.5762</w:t>
            </w:r>
          </w:p>
        </w:tc>
        <w:tc>
          <w:tcPr>
            <w:tcW w:w="3686" w:type="dxa"/>
            <w:gridSpan w:val="5"/>
            <w:vAlign w:val="center"/>
          </w:tcPr>
          <w:p w14:paraId="1E1288CA">
            <w:pPr>
              <w:spacing w:line="240" w:lineRule="auto"/>
              <w:ind w:firstLine="0" w:firstLineChars="0"/>
              <w:rPr>
                <w:rFonts w:ascii="Times New Roman" w:hAnsi="Times New Roman"/>
                <w:sz w:val="24"/>
              </w:rPr>
            </w:pPr>
            <w:r>
              <w:rPr>
                <w:rFonts w:ascii="Times New Roman" w:hAnsi="Times New Roman"/>
                <w:sz w:val="24"/>
              </w:rPr>
              <w:t>工业用地、防护绿地、</w:t>
            </w:r>
          </w:p>
          <w:p w14:paraId="1AD10306">
            <w:pPr>
              <w:spacing w:line="240" w:lineRule="auto"/>
              <w:ind w:firstLine="0" w:firstLineChars="0"/>
              <w:rPr>
                <w:rFonts w:ascii="Times New Roman" w:hAnsi="Times New Roman"/>
                <w:sz w:val="24"/>
              </w:rPr>
            </w:pPr>
            <w:r>
              <w:rPr>
                <w:rFonts w:ascii="Times New Roman" w:hAnsi="Times New Roman"/>
                <w:sz w:val="24"/>
              </w:rPr>
              <w:t>城镇住宅用地、城镇村道路用地</w:t>
            </w:r>
          </w:p>
        </w:tc>
        <w:tc>
          <w:tcPr>
            <w:tcW w:w="1559" w:type="dxa"/>
            <w:gridSpan w:val="2"/>
            <w:vAlign w:val="center"/>
          </w:tcPr>
          <w:p w14:paraId="1AE3982D">
            <w:pPr>
              <w:spacing w:line="240" w:lineRule="auto"/>
              <w:ind w:firstLine="0" w:firstLineChars="0"/>
              <w:jc w:val="center"/>
              <w:rPr>
                <w:rFonts w:ascii="Times New Roman" w:hAnsi="Times New Roman"/>
                <w:sz w:val="24"/>
              </w:rPr>
            </w:pPr>
            <w:r>
              <w:rPr>
                <w:rFonts w:ascii="Times New Roman" w:hAnsi="Times New Roman"/>
                <w:sz w:val="24"/>
              </w:rPr>
              <w:t>36.9597</w:t>
            </w:r>
          </w:p>
        </w:tc>
        <w:tc>
          <w:tcPr>
            <w:tcW w:w="2035" w:type="dxa"/>
            <w:gridSpan w:val="2"/>
            <w:vAlign w:val="center"/>
          </w:tcPr>
          <w:p w14:paraId="746C7A80">
            <w:pPr>
              <w:spacing w:line="240" w:lineRule="auto"/>
              <w:ind w:firstLine="0" w:firstLineChars="0"/>
              <w:jc w:val="center"/>
              <w:rPr>
                <w:rFonts w:ascii="Times New Roman" w:hAnsi="Times New Roman"/>
                <w:sz w:val="24"/>
              </w:rPr>
            </w:pPr>
            <w:r>
              <w:rPr>
                <w:rFonts w:ascii="Times New Roman" w:hAnsi="Times New Roman"/>
                <w:sz w:val="24"/>
              </w:rPr>
              <w:t>40.36</w:t>
            </w:r>
          </w:p>
        </w:tc>
      </w:tr>
      <w:tr w14:paraId="29E2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22" w:type="dxa"/>
            <w:gridSpan w:val="10"/>
            <w:vAlign w:val="center"/>
          </w:tcPr>
          <w:p w14:paraId="52875A7F">
            <w:pPr>
              <w:spacing w:line="240" w:lineRule="auto"/>
              <w:ind w:firstLine="0" w:firstLineChars="0"/>
              <w:rPr>
                <w:rFonts w:ascii="Times New Roman" w:hAnsi="Times New Roman"/>
                <w:b/>
                <w:sz w:val="24"/>
              </w:rPr>
            </w:pPr>
            <w:r>
              <w:rPr>
                <w:rFonts w:ascii="Times New Roman" w:hAnsi="Times New Roman"/>
                <w:b/>
                <w:sz w:val="24"/>
              </w:rPr>
              <w:t>三、成片开发土地征收与供地年度实施计划</w:t>
            </w:r>
          </w:p>
        </w:tc>
      </w:tr>
      <w:tr w14:paraId="426BE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242" w:type="dxa"/>
            <w:vAlign w:val="center"/>
          </w:tcPr>
          <w:p w14:paraId="23C1B833">
            <w:pPr>
              <w:spacing w:line="240" w:lineRule="auto"/>
              <w:ind w:firstLine="0" w:firstLineChars="0"/>
              <w:rPr>
                <w:rFonts w:ascii="Times New Roman" w:hAnsi="Times New Roman"/>
                <w:b/>
                <w:sz w:val="24"/>
              </w:rPr>
            </w:pPr>
            <w:r>
              <w:rPr>
                <w:rFonts w:ascii="Times New Roman" w:hAnsi="Times New Roman"/>
                <w:b/>
                <w:sz w:val="24"/>
              </w:rPr>
              <w:t>实施年度</w:t>
            </w:r>
          </w:p>
        </w:tc>
        <w:tc>
          <w:tcPr>
            <w:tcW w:w="3402" w:type="dxa"/>
            <w:gridSpan w:val="4"/>
            <w:vAlign w:val="center"/>
          </w:tcPr>
          <w:p w14:paraId="323D8D8D">
            <w:pPr>
              <w:spacing w:line="240" w:lineRule="auto"/>
              <w:ind w:firstLine="0" w:firstLineChars="0"/>
              <w:jc w:val="center"/>
              <w:rPr>
                <w:rFonts w:ascii="Times New Roman" w:hAnsi="Times New Roman"/>
                <w:b/>
                <w:sz w:val="24"/>
              </w:rPr>
            </w:pPr>
            <w:r>
              <w:rPr>
                <w:rFonts w:ascii="Times New Roman" w:hAnsi="Times New Roman"/>
                <w:b/>
                <w:sz w:val="24"/>
              </w:rPr>
              <w:t>征地面积</w:t>
            </w:r>
          </w:p>
        </w:tc>
        <w:tc>
          <w:tcPr>
            <w:tcW w:w="3878" w:type="dxa"/>
            <w:gridSpan w:val="5"/>
            <w:vAlign w:val="center"/>
          </w:tcPr>
          <w:p w14:paraId="717C9AA2">
            <w:pPr>
              <w:spacing w:line="240" w:lineRule="auto"/>
              <w:ind w:firstLine="0" w:firstLineChars="0"/>
              <w:jc w:val="center"/>
              <w:rPr>
                <w:rFonts w:ascii="Times New Roman" w:hAnsi="Times New Roman"/>
                <w:b/>
                <w:sz w:val="24"/>
              </w:rPr>
            </w:pPr>
            <w:r>
              <w:rPr>
                <w:rFonts w:ascii="Times New Roman" w:hAnsi="Times New Roman"/>
                <w:b/>
                <w:sz w:val="24"/>
              </w:rPr>
              <w:t>供地面积</w:t>
            </w:r>
          </w:p>
        </w:tc>
      </w:tr>
      <w:tr w14:paraId="31D7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14:paraId="2904227C">
            <w:pPr>
              <w:spacing w:line="240" w:lineRule="auto"/>
              <w:ind w:firstLine="0" w:firstLineChars="0"/>
              <w:jc w:val="center"/>
              <w:rPr>
                <w:rFonts w:ascii="Times New Roman" w:hAnsi="Times New Roman"/>
                <w:sz w:val="24"/>
              </w:rPr>
            </w:pPr>
            <w:r>
              <w:rPr>
                <w:rFonts w:ascii="Times New Roman" w:hAnsi="Times New Roman"/>
                <w:sz w:val="24"/>
              </w:rPr>
              <w:t>2025年</w:t>
            </w:r>
          </w:p>
        </w:tc>
        <w:tc>
          <w:tcPr>
            <w:tcW w:w="3402" w:type="dxa"/>
            <w:gridSpan w:val="4"/>
            <w:vAlign w:val="center"/>
          </w:tcPr>
          <w:p w14:paraId="7EF04888">
            <w:pPr>
              <w:spacing w:line="240" w:lineRule="auto"/>
              <w:ind w:firstLine="0" w:firstLineChars="0"/>
              <w:jc w:val="center"/>
              <w:rPr>
                <w:rFonts w:ascii="Times New Roman" w:hAnsi="Times New Roman"/>
                <w:sz w:val="24"/>
              </w:rPr>
            </w:pPr>
            <w:r>
              <w:rPr>
                <w:rFonts w:ascii="Times New Roman" w:hAnsi="Times New Roman"/>
                <w:sz w:val="24"/>
              </w:rPr>
              <w:t>4.3120</w:t>
            </w:r>
          </w:p>
        </w:tc>
        <w:tc>
          <w:tcPr>
            <w:tcW w:w="3878" w:type="dxa"/>
            <w:gridSpan w:val="5"/>
            <w:vAlign w:val="center"/>
          </w:tcPr>
          <w:p w14:paraId="694405A8">
            <w:pPr>
              <w:spacing w:line="240" w:lineRule="auto"/>
              <w:ind w:firstLine="0" w:firstLineChars="0"/>
              <w:jc w:val="center"/>
              <w:rPr>
                <w:rFonts w:ascii="Times New Roman" w:hAnsi="Times New Roman"/>
                <w:sz w:val="24"/>
              </w:rPr>
            </w:pPr>
            <w:r>
              <w:rPr>
                <w:rFonts w:ascii="Times New Roman" w:hAnsi="Times New Roman"/>
                <w:sz w:val="24"/>
              </w:rPr>
              <w:t>13.2522</w:t>
            </w:r>
            <w:r>
              <w:rPr>
                <w:rFonts w:ascii="Times New Roman" w:hAnsi="Times New Roman"/>
              </w:rPr>
              <w:t>‬</w:t>
            </w:r>
          </w:p>
        </w:tc>
      </w:tr>
      <w:tr w14:paraId="7D835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14:paraId="2DD16F3B">
            <w:pPr>
              <w:spacing w:line="240" w:lineRule="auto"/>
              <w:ind w:firstLine="0" w:firstLineChars="0"/>
              <w:jc w:val="center"/>
              <w:rPr>
                <w:rFonts w:ascii="Times New Roman" w:hAnsi="Times New Roman"/>
                <w:sz w:val="24"/>
              </w:rPr>
            </w:pPr>
            <w:r>
              <w:rPr>
                <w:rFonts w:ascii="Times New Roman" w:hAnsi="Times New Roman"/>
                <w:sz w:val="24"/>
              </w:rPr>
              <w:t>2026年</w:t>
            </w:r>
          </w:p>
        </w:tc>
        <w:tc>
          <w:tcPr>
            <w:tcW w:w="3402" w:type="dxa"/>
            <w:gridSpan w:val="4"/>
            <w:vAlign w:val="center"/>
          </w:tcPr>
          <w:p w14:paraId="26B0B566">
            <w:pPr>
              <w:spacing w:line="240" w:lineRule="auto"/>
              <w:ind w:firstLine="0" w:firstLineChars="0"/>
              <w:jc w:val="center"/>
              <w:rPr>
                <w:rFonts w:ascii="Times New Roman" w:hAnsi="Times New Roman"/>
                <w:sz w:val="24"/>
              </w:rPr>
            </w:pPr>
            <w:r>
              <w:rPr>
                <w:rFonts w:ascii="Times New Roman" w:hAnsi="Times New Roman"/>
                <w:sz w:val="24"/>
              </w:rPr>
              <w:t>4.5969</w:t>
            </w:r>
          </w:p>
        </w:tc>
        <w:tc>
          <w:tcPr>
            <w:tcW w:w="3878" w:type="dxa"/>
            <w:gridSpan w:val="5"/>
            <w:vAlign w:val="center"/>
          </w:tcPr>
          <w:p w14:paraId="78A6FBE4">
            <w:pPr>
              <w:spacing w:line="240" w:lineRule="auto"/>
              <w:ind w:firstLine="0" w:firstLineChars="0"/>
              <w:jc w:val="center"/>
              <w:rPr>
                <w:rFonts w:ascii="Times New Roman" w:hAnsi="Times New Roman"/>
                <w:sz w:val="24"/>
              </w:rPr>
            </w:pPr>
            <w:r>
              <w:rPr>
                <w:rFonts w:ascii="Times New Roman" w:hAnsi="Times New Roman"/>
                <w:sz w:val="24"/>
              </w:rPr>
              <w:t>4.3120</w:t>
            </w:r>
          </w:p>
        </w:tc>
      </w:tr>
      <w:tr w14:paraId="46ADB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14:paraId="7E2F840D">
            <w:pPr>
              <w:spacing w:line="240" w:lineRule="auto"/>
              <w:ind w:firstLine="0" w:firstLineChars="0"/>
              <w:jc w:val="center"/>
              <w:rPr>
                <w:rFonts w:ascii="Times New Roman" w:hAnsi="Times New Roman"/>
                <w:sz w:val="24"/>
              </w:rPr>
            </w:pPr>
            <w:r>
              <w:rPr>
                <w:rFonts w:ascii="Times New Roman" w:hAnsi="Times New Roman"/>
                <w:sz w:val="24"/>
              </w:rPr>
              <w:t>2027年</w:t>
            </w:r>
          </w:p>
        </w:tc>
        <w:tc>
          <w:tcPr>
            <w:tcW w:w="3402" w:type="dxa"/>
            <w:gridSpan w:val="4"/>
            <w:vAlign w:val="center"/>
          </w:tcPr>
          <w:p w14:paraId="1E2BDE97">
            <w:pPr>
              <w:spacing w:line="240" w:lineRule="auto"/>
              <w:ind w:firstLine="0" w:firstLineChars="0"/>
              <w:jc w:val="center"/>
              <w:rPr>
                <w:rFonts w:ascii="Times New Roman" w:hAnsi="Times New Roman"/>
                <w:sz w:val="24"/>
              </w:rPr>
            </w:pPr>
            <w:r>
              <w:rPr>
                <w:rFonts w:ascii="Times New Roman" w:hAnsi="Times New Roman"/>
                <w:sz w:val="24"/>
              </w:rPr>
              <w:t>8.8657</w:t>
            </w:r>
          </w:p>
        </w:tc>
        <w:tc>
          <w:tcPr>
            <w:tcW w:w="3878" w:type="dxa"/>
            <w:gridSpan w:val="5"/>
            <w:vAlign w:val="center"/>
          </w:tcPr>
          <w:p w14:paraId="4421A81B">
            <w:pPr>
              <w:spacing w:line="240" w:lineRule="auto"/>
              <w:ind w:firstLine="0" w:firstLineChars="0"/>
              <w:jc w:val="center"/>
              <w:rPr>
                <w:rFonts w:ascii="Times New Roman" w:hAnsi="Times New Roman"/>
                <w:sz w:val="24"/>
              </w:rPr>
            </w:pPr>
            <w:r>
              <w:rPr>
                <w:rFonts w:ascii="Times New Roman" w:hAnsi="Times New Roman"/>
                <w:sz w:val="24"/>
              </w:rPr>
              <w:t>4.5969</w:t>
            </w:r>
          </w:p>
        </w:tc>
      </w:tr>
      <w:tr w14:paraId="715F0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14:paraId="3C837646">
            <w:pPr>
              <w:spacing w:line="240" w:lineRule="auto"/>
              <w:ind w:firstLine="0" w:firstLineChars="0"/>
              <w:jc w:val="center"/>
              <w:rPr>
                <w:rFonts w:ascii="Times New Roman" w:hAnsi="Times New Roman"/>
                <w:sz w:val="24"/>
              </w:rPr>
            </w:pPr>
            <w:r>
              <w:rPr>
                <w:rFonts w:ascii="Times New Roman" w:hAnsi="Times New Roman"/>
                <w:sz w:val="24"/>
              </w:rPr>
              <w:t>2028年</w:t>
            </w:r>
          </w:p>
        </w:tc>
        <w:tc>
          <w:tcPr>
            <w:tcW w:w="3402" w:type="dxa"/>
            <w:gridSpan w:val="4"/>
            <w:vAlign w:val="center"/>
          </w:tcPr>
          <w:p w14:paraId="719F8955">
            <w:pPr>
              <w:spacing w:line="240" w:lineRule="auto"/>
              <w:ind w:firstLine="0" w:firstLineChars="0"/>
              <w:jc w:val="center"/>
              <w:rPr>
                <w:rFonts w:ascii="Times New Roman" w:hAnsi="Times New Roman"/>
                <w:sz w:val="24"/>
              </w:rPr>
            </w:pPr>
            <w:r>
              <w:rPr>
                <w:rFonts w:ascii="Times New Roman" w:hAnsi="Times New Roman"/>
                <w:sz w:val="24"/>
              </w:rPr>
              <w:t>2.0679</w:t>
            </w:r>
          </w:p>
        </w:tc>
        <w:tc>
          <w:tcPr>
            <w:tcW w:w="3878" w:type="dxa"/>
            <w:gridSpan w:val="5"/>
            <w:vAlign w:val="center"/>
          </w:tcPr>
          <w:p w14:paraId="3DBDEA66">
            <w:pPr>
              <w:spacing w:line="240" w:lineRule="auto"/>
              <w:ind w:firstLine="0" w:firstLineChars="0"/>
              <w:jc w:val="center"/>
              <w:rPr>
                <w:rFonts w:ascii="Times New Roman" w:hAnsi="Times New Roman"/>
                <w:sz w:val="24"/>
              </w:rPr>
            </w:pPr>
            <w:r>
              <w:rPr>
                <w:rFonts w:ascii="Times New Roman" w:hAnsi="Times New Roman"/>
                <w:sz w:val="24"/>
              </w:rPr>
              <w:t>10.9336</w:t>
            </w:r>
          </w:p>
        </w:tc>
      </w:tr>
      <w:tr w14:paraId="6B5C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14:paraId="210386B8">
            <w:pPr>
              <w:spacing w:line="240" w:lineRule="auto"/>
              <w:ind w:firstLine="0" w:firstLineChars="0"/>
              <w:jc w:val="center"/>
              <w:rPr>
                <w:rFonts w:ascii="Times New Roman" w:hAnsi="Times New Roman"/>
                <w:sz w:val="24"/>
              </w:rPr>
            </w:pPr>
            <w:r>
              <w:rPr>
                <w:rFonts w:ascii="Times New Roman" w:hAnsi="Times New Roman"/>
                <w:sz w:val="24"/>
              </w:rPr>
              <w:t>合计</w:t>
            </w:r>
          </w:p>
        </w:tc>
        <w:tc>
          <w:tcPr>
            <w:tcW w:w="3402" w:type="dxa"/>
            <w:gridSpan w:val="4"/>
            <w:vAlign w:val="center"/>
          </w:tcPr>
          <w:p w14:paraId="370F8D0D">
            <w:pPr>
              <w:spacing w:line="240" w:lineRule="auto"/>
              <w:ind w:firstLine="0" w:firstLineChars="0"/>
              <w:jc w:val="center"/>
              <w:rPr>
                <w:rFonts w:ascii="Times New Roman" w:hAnsi="Times New Roman"/>
                <w:sz w:val="24"/>
              </w:rPr>
            </w:pPr>
            <w:r>
              <w:rPr>
                <w:rFonts w:ascii="Times New Roman" w:hAnsi="Times New Roman"/>
                <w:sz w:val="24"/>
              </w:rPr>
              <w:t>19.8425</w:t>
            </w:r>
          </w:p>
        </w:tc>
        <w:tc>
          <w:tcPr>
            <w:tcW w:w="3878" w:type="dxa"/>
            <w:gridSpan w:val="5"/>
            <w:vAlign w:val="center"/>
          </w:tcPr>
          <w:p w14:paraId="18ED1ECD">
            <w:pPr>
              <w:ind w:firstLine="0" w:firstLineChars="0"/>
              <w:jc w:val="center"/>
              <w:rPr>
                <w:rFonts w:ascii="Times New Roman" w:hAnsi="Times New Roman"/>
                <w:sz w:val="24"/>
              </w:rPr>
            </w:pPr>
            <w:r>
              <w:rPr>
                <w:rFonts w:ascii="Times New Roman" w:hAnsi="Times New Roman"/>
                <w:sz w:val="24"/>
              </w:rPr>
              <w:t>33.0947</w:t>
            </w:r>
          </w:p>
        </w:tc>
      </w:tr>
    </w:tbl>
    <w:p w14:paraId="413CD78D">
      <w:pPr>
        <w:ind w:firstLine="560"/>
        <w:rPr>
          <w:rFonts w:ascii="Times New Roman" w:hAnsi="Times New Roman"/>
        </w:rPr>
        <w:sectPr>
          <w:pgSz w:w="11906" w:h="16838"/>
          <w:pgMar w:top="1440" w:right="1800" w:bottom="1440" w:left="1800" w:header="851" w:footer="992" w:gutter="0"/>
          <w:cols w:space="720" w:num="1"/>
          <w:docGrid w:type="lines" w:linePitch="326" w:charSpace="0"/>
        </w:sectPr>
      </w:pPr>
    </w:p>
    <w:p w14:paraId="6B7715C8">
      <w:pPr>
        <w:pStyle w:val="3"/>
        <w:numPr>
          <w:ilvl w:val="0"/>
          <w:numId w:val="0"/>
        </w:numPr>
        <w:rPr>
          <w:rFonts w:ascii="Times New Roman" w:hAnsi="Times New Roman"/>
        </w:rPr>
      </w:pPr>
      <w:bookmarkStart w:id="31" w:name="_Toc207347484"/>
      <w:r>
        <w:rPr>
          <w:rFonts w:ascii="Times New Roman" w:hAnsi="Times New Roman"/>
        </w:rPr>
        <w:t>2.青阳县新河镇十里岗片区（2025年调整）（编号CZQY341723-2022-2）位置图</w:t>
      </w:r>
      <w:bookmarkEnd w:id="31"/>
    </w:p>
    <w:p w14:paraId="0DB36250">
      <w:pPr>
        <w:ind w:firstLine="0" w:firstLineChars="0"/>
        <w:rPr>
          <w:rFonts w:ascii="Times New Roman" w:hAnsi="Times New Roman"/>
        </w:rPr>
      </w:pPr>
      <w:r>
        <w:rPr>
          <w:rFonts w:ascii="Times New Roman" w:hAnsi="Times New Roman"/>
        </w:rPr>
        <w:drawing>
          <wp:inline distT="0" distB="0" distL="0" distR="0">
            <wp:extent cx="5274945" cy="5274945"/>
            <wp:effectExtent l="0" t="0" r="1905" b="1905"/>
            <wp:docPr id="3" name="图片 3" descr="E:\2025年工作\2.成片开发\6.青阳县新河镇十里岗片区土地征收成片开发方案（2025年调整）\图件\图件\位置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2025年工作\2.成片开发\6.青阳县新河镇十里岗片区土地征收成片开发方案（2025年调整）\图件\图件\位置图.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5274945" cy="5274945"/>
                    </a:xfrm>
                    <a:prstGeom prst="rect">
                      <a:avLst/>
                    </a:prstGeom>
                    <a:noFill/>
                    <a:ln>
                      <a:noFill/>
                    </a:ln>
                  </pic:spPr>
                </pic:pic>
              </a:graphicData>
            </a:graphic>
          </wp:inline>
        </w:drawing>
      </w:r>
    </w:p>
    <w:p w14:paraId="56329503">
      <w:pPr>
        <w:ind w:firstLine="0" w:firstLineChars="0"/>
        <w:rPr>
          <w:rFonts w:ascii="Times New Roman" w:hAnsi="Times New Roman"/>
        </w:rPr>
        <w:sectPr>
          <w:pgSz w:w="11907" w:h="16839"/>
          <w:pgMar w:top="1440" w:right="1800" w:bottom="1440" w:left="1800" w:header="851" w:footer="992" w:gutter="0"/>
          <w:cols w:space="720" w:num="1"/>
          <w:docGrid w:type="lines" w:linePitch="381" w:charSpace="0"/>
        </w:sectPr>
      </w:pPr>
    </w:p>
    <w:p w14:paraId="49F1552B">
      <w:pPr>
        <w:pStyle w:val="3"/>
        <w:numPr>
          <w:ilvl w:val="0"/>
          <w:numId w:val="0"/>
        </w:numPr>
        <w:rPr>
          <w:rFonts w:ascii="Times New Roman" w:hAnsi="Times New Roman"/>
        </w:rPr>
      </w:pPr>
      <w:bookmarkStart w:id="32" w:name="_Toc207347485"/>
      <w:r>
        <w:rPr>
          <w:rFonts w:ascii="Times New Roman" w:hAnsi="Times New Roman"/>
        </w:rPr>
        <w:t>3.青阳县新河镇十里岗片区（2025年调整）（编号CZQY341723-2022-2）分区规划图</w:t>
      </w:r>
      <w:bookmarkEnd w:id="32"/>
    </w:p>
    <w:p w14:paraId="08C99A6C">
      <w:pPr>
        <w:ind w:firstLine="0" w:firstLineChars="0"/>
        <w:rPr>
          <w:rFonts w:ascii="Times New Roman" w:hAnsi="Times New Roman"/>
        </w:rPr>
      </w:pPr>
      <w:r>
        <w:rPr>
          <w:rFonts w:ascii="Times New Roman" w:hAnsi="Times New Roman"/>
        </w:rPr>
        <w:drawing>
          <wp:inline distT="0" distB="0" distL="0" distR="0">
            <wp:extent cx="5274945" cy="5274945"/>
            <wp:effectExtent l="0" t="0" r="1905" b="1905"/>
            <wp:docPr id="7" name="图片 7" descr="E:\2025年工作\2.成片开发\6.青阳县新河镇十里岗片区土地征收成片开发方案（2025年调整）\图件\图件\分区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E:\2025年工作\2.成片开发\6.青阳县新河镇十里岗片区土地征收成片开发方案（2025年调整）\图件\图件\分区规划图.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274945" cy="5274945"/>
                    </a:xfrm>
                    <a:prstGeom prst="rect">
                      <a:avLst/>
                    </a:prstGeom>
                    <a:noFill/>
                    <a:ln>
                      <a:noFill/>
                    </a:ln>
                  </pic:spPr>
                </pic:pic>
              </a:graphicData>
            </a:graphic>
          </wp:inline>
        </w:drawing>
      </w:r>
    </w:p>
    <w:p w14:paraId="1750179F">
      <w:pPr>
        <w:ind w:firstLine="0" w:firstLineChars="0"/>
        <w:rPr>
          <w:rFonts w:ascii="Times New Roman" w:hAnsi="Times New Roman"/>
        </w:rPr>
        <w:sectPr>
          <w:pgSz w:w="11907" w:h="16839"/>
          <w:pgMar w:top="1440" w:right="1800" w:bottom="1440" w:left="1800" w:header="851" w:footer="992" w:gutter="0"/>
          <w:cols w:space="720" w:num="1"/>
          <w:docGrid w:type="lines" w:linePitch="381" w:charSpace="0"/>
        </w:sectPr>
      </w:pPr>
    </w:p>
    <w:p w14:paraId="0BFE39B4">
      <w:pPr>
        <w:pStyle w:val="3"/>
        <w:numPr>
          <w:ilvl w:val="0"/>
          <w:numId w:val="0"/>
        </w:numPr>
        <w:rPr>
          <w:rFonts w:ascii="Times New Roman" w:hAnsi="Times New Roman"/>
        </w:rPr>
      </w:pPr>
      <w:bookmarkStart w:id="33" w:name="_Toc207347486"/>
      <w:r>
        <w:rPr>
          <w:rFonts w:ascii="Times New Roman" w:hAnsi="Times New Roman"/>
        </w:rPr>
        <w:t>4.青阳县新河镇十里岗片区（2025年调整）（编号CZQY341723-2022-2）用地规划图</w:t>
      </w:r>
      <w:bookmarkEnd w:id="33"/>
    </w:p>
    <w:p w14:paraId="3074FB8A">
      <w:pPr>
        <w:ind w:firstLine="0" w:firstLineChars="0"/>
        <w:rPr>
          <w:rFonts w:ascii="Times New Roman" w:hAnsi="Times New Roman"/>
        </w:rPr>
      </w:pPr>
      <w:r>
        <w:rPr>
          <w:rFonts w:ascii="Times New Roman" w:hAnsi="Times New Roman"/>
        </w:rPr>
        <w:drawing>
          <wp:inline distT="0" distB="0" distL="0" distR="0">
            <wp:extent cx="5274945" cy="5274945"/>
            <wp:effectExtent l="0" t="0" r="1905" b="1905"/>
            <wp:docPr id="11" name="图片 11" descr="E:\2025年工作\2.成片开发\6.青阳县新河镇十里岗片区土地征收成片开发方案（2025年调整）\图件\图件\用地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E:\2025年工作\2.成片开发\6.青阳县新河镇十里岗片区土地征收成片开发方案（2025年调整）\图件\图件\用地规划图.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274945" cy="5274945"/>
                    </a:xfrm>
                    <a:prstGeom prst="rect">
                      <a:avLst/>
                    </a:prstGeom>
                    <a:noFill/>
                    <a:ln>
                      <a:noFill/>
                    </a:ln>
                  </pic:spPr>
                </pic:pic>
              </a:graphicData>
            </a:graphic>
          </wp:inline>
        </w:drawing>
      </w:r>
    </w:p>
    <w:sectPr>
      <w:pgSz w:w="11907" w:h="16839"/>
      <w:pgMar w:top="1440" w:right="1800" w:bottom="1440" w:left="1800" w:header="851" w:footer="992" w:gutter="0"/>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DFKai-SB">
    <w:altName w:val="Microsoft JhengHei Light"/>
    <w:panose1 w:val="03000509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简体">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仿宋">
    <w:altName w:val="仿宋"/>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4CDAD">
    <w:pPr>
      <w:pStyle w:val="10"/>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E60C9">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C82DD">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6FA16">
    <w:pPr>
      <w:pStyle w:val="10"/>
      <w:spacing w:line="240" w:lineRule="auto"/>
      <w:ind w:firstLine="0" w:firstLineChars="0"/>
      <w:jc w:val="cente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2</w:t>
    </w:r>
    <w:r>
      <w:rPr>
        <w:rFonts w:ascii="Times New Roman" w:hAnsi="Times New Roman"/>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F826C">
    <w:pPr>
      <w:ind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74DCE">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91EE1">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200D5"/>
    <w:multiLevelType w:val="multilevel"/>
    <w:tmpl w:val="3F4200D5"/>
    <w:lvl w:ilvl="0" w:tentative="0">
      <w:start w:val="1"/>
      <w:numFmt w:val="chineseCountingThousand"/>
      <w:pStyle w:val="2"/>
      <w:suff w:val="nothing"/>
      <w:lvlText w:val="%1、"/>
      <w:lvlJc w:val="left"/>
      <w:pPr>
        <w:ind w:left="0" w:firstLine="561"/>
      </w:pPr>
      <w:rPr>
        <w:rFonts w:hint="eastAsia"/>
        <w:b/>
        <w:i w:val="0"/>
      </w:rPr>
    </w:lvl>
    <w:lvl w:ilvl="1" w:tentative="0">
      <w:start w:val="1"/>
      <w:numFmt w:val="decimal"/>
      <w:lvlRestart w:val="0"/>
      <w:pStyle w:val="3"/>
      <w:suff w:val="nothing"/>
      <w:lvlText w:val="%2."/>
      <w:lvlJc w:val="left"/>
      <w:pPr>
        <w:ind w:left="0" w:firstLine="561"/>
      </w:pPr>
      <w:rPr>
        <w:rFonts w:hint="eastAsia"/>
      </w:rPr>
    </w:lvl>
    <w:lvl w:ilvl="2" w:tentative="0">
      <w:start w:val="1"/>
      <w:numFmt w:val="decimal"/>
      <w:pStyle w:val="4"/>
      <w:suff w:val="space"/>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0"/>
  <w:drawingGridHorizontalSpacing w:val="140"/>
  <w:drawingGridVerticalSpacing w:val="381"/>
  <w:displayHorizont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xYTVlYTlkYTJjMTNjMzdiNzQ4MzUzMDYyNDdjMTAifQ=="/>
  </w:docVars>
  <w:rsids>
    <w:rsidRoot w:val="00172A27"/>
    <w:rsid w:val="00002082"/>
    <w:rsid w:val="00005458"/>
    <w:rsid w:val="00007E53"/>
    <w:rsid w:val="00010CD2"/>
    <w:rsid w:val="00011997"/>
    <w:rsid w:val="00012485"/>
    <w:rsid w:val="000164F4"/>
    <w:rsid w:val="000174C5"/>
    <w:rsid w:val="00017A7F"/>
    <w:rsid w:val="00017FA0"/>
    <w:rsid w:val="00020913"/>
    <w:rsid w:val="00020C4D"/>
    <w:rsid w:val="00021D5B"/>
    <w:rsid w:val="00022465"/>
    <w:rsid w:val="00024F22"/>
    <w:rsid w:val="00025C38"/>
    <w:rsid w:val="00030DB7"/>
    <w:rsid w:val="00031514"/>
    <w:rsid w:val="000366D7"/>
    <w:rsid w:val="00037EC3"/>
    <w:rsid w:val="00040753"/>
    <w:rsid w:val="00041943"/>
    <w:rsid w:val="00042A0D"/>
    <w:rsid w:val="00042BD2"/>
    <w:rsid w:val="00045730"/>
    <w:rsid w:val="000461D3"/>
    <w:rsid w:val="00047388"/>
    <w:rsid w:val="00047BB2"/>
    <w:rsid w:val="00047EC5"/>
    <w:rsid w:val="00050347"/>
    <w:rsid w:val="00050468"/>
    <w:rsid w:val="0005263F"/>
    <w:rsid w:val="00054316"/>
    <w:rsid w:val="000545BC"/>
    <w:rsid w:val="00061203"/>
    <w:rsid w:val="000633D4"/>
    <w:rsid w:val="00067546"/>
    <w:rsid w:val="00071EB7"/>
    <w:rsid w:val="00074EF9"/>
    <w:rsid w:val="000753FC"/>
    <w:rsid w:val="00075A17"/>
    <w:rsid w:val="0009098B"/>
    <w:rsid w:val="000925BB"/>
    <w:rsid w:val="00092809"/>
    <w:rsid w:val="00092BA5"/>
    <w:rsid w:val="00092D91"/>
    <w:rsid w:val="000949C5"/>
    <w:rsid w:val="000958E5"/>
    <w:rsid w:val="000964B1"/>
    <w:rsid w:val="000A2112"/>
    <w:rsid w:val="000A291C"/>
    <w:rsid w:val="000A69DD"/>
    <w:rsid w:val="000B1F5E"/>
    <w:rsid w:val="000B6549"/>
    <w:rsid w:val="000C0435"/>
    <w:rsid w:val="000C0623"/>
    <w:rsid w:val="000C160C"/>
    <w:rsid w:val="000C277D"/>
    <w:rsid w:val="000C4767"/>
    <w:rsid w:val="000C65B2"/>
    <w:rsid w:val="000D168E"/>
    <w:rsid w:val="000D20A1"/>
    <w:rsid w:val="000D374C"/>
    <w:rsid w:val="000D55C7"/>
    <w:rsid w:val="000D7123"/>
    <w:rsid w:val="000D7D7B"/>
    <w:rsid w:val="000E1833"/>
    <w:rsid w:val="000E5BA8"/>
    <w:rsid w:val="000E70EA"/>
    <w:rsid w:val="000E77D8"/>
    <w:rsid w:val="000F194B"/>
    <w:rsid w:val="000F302F"/>
    <w:rsid w:val="000F36E1"/>
    <w:rsid w:val="000F6BF4"/>
    <w:rsid w:val="000F703D"/>
    <w:rsid w:val="000F7082"/>
    <w:rsid w:val="00101482"/>
    <w:rsid w:val="00102396"/>
    <w:rsid w:val="00102433"/>
    <w:rsid w:val="001030D2"/>
    <w:rsid w:val="00103293"/>
    <w:rsid w:val="00103A2F"/>
    <w:rsid w:val="00103AC3"/>
    <w:rsid w:val="00104974"/>
    <w:rsid w:val="001064CF"/>
    <w:rsid w:val="00106F74"/>
    <w:rsid w:val="0011314E"/>
    <w:rsid w:val="0012118A"/>
    <w:rsid w:val="00124601"/>
    <w:rsid w:val="00124CBA"/>
    <w:rsid w:val="0012601E"/>
    <w:rsid w:val="001305B6"/>
    <w:rsid w:val="001317A4"/>
    <w:rsid w:val="00134C4A"/>
    <w:rsid w:val="00137518"/>
    <w:rsid w:val="00140130"/>
    <w:rsid w:val="0014018F"/>
    <w:rsid w:val="00140CE0"/>
    <w:rsid w:val="00141498"/>
    <w:rsid w:val="00143B44"/>
    <w:rsid w:val="00145E89"/>
    <w:rsid w:val="00146741"/>
    <w:rsid w:val="00146D8F"/>
    <w:rsid w:val="00150CC4"/>
    <w:rsid w:val="00153A4E"/>
    <w:rsid w:val="00154257"/>
    <w:rsid w:val="00155A54"/>
    <w:rsid w:val="00156258"/>
    <w:rsid w:val="00156B53"/>
    <w:rsid w:val="00156E47"/>
    <w:rsid w:val="00156EB8"/>
    <w:rsid w:val="001609FA"/>
    <w:rsid w:val="001645DB"/>
    <w:rsid w:val="00172A27"/>
    <w:rsid w:val="00173969"/>
    <w:rsid w:val="00174B8F"/>
    <w:rsid w:val="00175064"/>
    <w:rsid w:val="001752EB"/>
    <w:rsid w:val="001778D6"/>
    <w:rsid w:val="00180F20"/>
    <w:rsid w:val="0018108C"/>
    <w:rsid w:val="0018114E"/>
    <w:rsid w:val="00181F9B"/>
    <w:rsid w:val="00182BED"/>
    <w:rsid w:val="00182F32"/>
    <w:rsid w:val="00184B3F"/>
    <w:rsid w:val="00184B48"/>
    <w:rsid w:val="0018521C"/>
    <w:rsid w:val="00186462"/>
    <w:rsid w:val="00186D40"/>
    <w:rsid w:val="00186E9A"/>
    <w:rsid w:val="00193356"/>
    <w:rsid w:val="0019374F"/>
    <w:rsid w:val="00194AAE"/>
    <w:rsid w:val="00196D6B"/>
    <w:rsid w:val="001A16A3"/>
    <w:rsid w:val="001A3A65"/>
    <w:rsid w:val="001A4F27"/>
    <w:rsid w:val="001B304F"/>
    <w:rsid w:val="001B3ABB"/>
    <w:rsid w:val="001B5A4B"/>
    <w:rsid w:val="001B708A"/>
    <w:rsid w:val="001B778C"/>
    <w:rsid w:val="001C00F2"/>
    <w:rsid w:val="001C2596"/>
    <w:rsid w:val="001C3BBA"/>
    <w:rsid w:val="001C46DD"/>
    <w:rsid w:val="001C4B7D"/>
    <w:rsid w:val="001C5737"/>
    <w:rsid w:val="001C5A21"/>
    <w:rsid w:val="001D36DB"/>
    <w:rsid w:val="001D54D3"/>
    <w:rsid w:val="001E027A"/>
    <w:rsid w:val="001E28FB"/>
    <w:rsid w:val="001E5A99"/>
    <w:rsid w:val="001E6587"/>
    <w:rsid w:val="001E7319"/>
    <w:rsid w:val="001E75A7"/>
    <w:rsid w:val="001E7892"/>
    <w:rsid w:val="001F0A94"/>
    <w:rsid w:val="001F14B4"/>
    <w:rsid w:val="001F46C1"/>
    <w:rsid w:val="001F4F10"/>
    <w:rsid w:val="001F74F7"/>
    <w:rsid w:val="002017FA"/>
    <w:rsid w:val="0020228D"/>
    <w:rsid w:val="00202D68"/>
    <w:rsid w:val="0020332B"/>
    <w:rsid w:val="00204291"/>
    <w:rsid w:val="00204B15"/>
    <w:rsid w:val="00211C20"/>
    <w:rsid w:val="00212106"/>
    <w:rsid w:val="002126C8"/>
    <w:rsid w:val="00214B31"/>
    <w:rsid w:val="00216ADC"/>
    <w:rsid w:val="002170F2"/>
    <w:rsid w:val="0022088C"/>
    <w:rsid w:val="0022230D"/>
    <w:rsid w:val="00222A9E"/>
    <w:rsid w:val="00227F6C"/>
    <w:rsid w:val="00232D30"/>
    <w:rsid w:val="00233EEE"/>
    <w:rsid w:val="00237FCF"/>
    <w:rsid w:val="00240336"/>
    <w:rsid w:val="00240AE2"/>
    <w:rsid w:val="00244656"/>
    <w:rsid w:val="002450E5"/>
    <w:rsid w:val="00245430"/>
    <w:rsid w:val="002519FD"/>
    <w:rsid w:val="00251FA2"/>
    <w:rsid w:val="00252B1B"/>
    <w:rsid w:val="00252F8E"/>
    <w:rsid w:val="002531AB"/>
    <w:rsid w:val="00253E86"/>
    <w:rsid w:val="00254C1B"/>
    <w:rsid w:val="00256628"/>
    <w:rsid w:val="0025673E"/>
    <w:rsid w:val="002611FB"/>
    <w:rsid w:val="0026334B"/>
    <w:rsid w:val="00263AFA"/>
    <w:rsid w:val="00265C74"/>
    <w:rsid w:val="00265E20"/>
    <w:rsid w:val="00266522"/>
    <w:rsid w:val="00266F36"/>
    <w:rsid w:val="00267363"/>
    <w:rsid w:val="00270B7A"/>
    <w:rsid w:val="00273442"/>
    <w:rsid w:val="00273492"/>
    <w:rsid w:val="0027357D"/>
    <w:rsid w:val="0027377C"/>
    <w:rsid w:val="00273CDC"/>
    <w:rsid w:val="00277324"/>
    <w:rsid w:val="0027787E"/>
    <w:rsid w:val="002849C1"/>
    <w:rsid w:val="00295523"/>
    <w:rsid w:val="002A197E"/>
    <w:rsid w:val="002A360F"/>
    <w:rsid w:val="002A3CE1"/>
    <w:rsid w:val="002A710D"/>
    <w:rsid w:val="002A7FC1"/>
    <w:rsid w:val="002B2219"/>
    <w:rsid w:val="002B4A43"/>
    <w:rsid w:val="002B6D96"/>
    <w:rsid w:val="002C1E2B"/>
    <w:rsid w:val="002C6F56"/>
    <w:rsid w:val="002D34F8"/>
    <w:rsid w:val="002D3C99"/>
    <w:rsid w:val="002D3D04"/>
    <w:rsid w:val="002D6C7C"/>
    <w:rsid w:val="002D7886"/>
    <w:rsid w:val="002E3736"/>
    <w:rsid w:val="002E54E6"/>
    <w:rsid w:val="002E582D"/>
    <w:rsid w:val="002E7213"/>
    <w:rsid w:val="002F0BB3"/>
    <w:rsid w:val="002F0C47"/>
    <w:rsid w:val="002F24D0"/>
    <w:rsid w:val="002F4E0E"/>
    <w:rsid w:val="002F57A8"/>
    <w:rsid w:val="002F6AC8"/>
    <w:rsid w:val="002F754D"/>
    <w:rsid w:val="003023B9"/>
    <w:rsid w:val="003045E7"/>
    <w:rsid w:val="00304D89"/>
    <w:rsid w:val="00306080"/>
    <w:rsid w:val="00307BE2"/>
    <w:rsid w:val="0031287A"/>
    <w:rsid w:val="0031501A"/>
    <w:rsid w:val="00322F07"/>
    <w:rsid w:val="003251A1"/>
    <w:rsid w:val="00327460"/>
    <w:rsid w:val="00327AA5"/>
    <w:rsid w:val="00332E83"/>
    <w:rsid w:val="003443DF"/>
    <w:rsid w:val="00345657"/>
    <w:rsid w:val="00347692"/>
    <w:rsid w:val="00347F5F"/>
    <w:rsid w:val="00350A04"/>
    <w:rsid w:val="003535CF"/>
    <w:rsid w:val="00353C42"/>
    <w:rsid w:val="00353CC4"/>
    <w:rsid w:val="00353DA0"/>
    <w:rsid w:val="003552E3"/>
    <w:rsid w:val="00355930"/>
    <w:rsid w:val="00356E75"/>
    <w:rsid w:val="00356ED4"/>
    <w:rsid w:val="0036031A"/>
    <w:rsid w:val="003614EB"/>
    <w:rsid w:val="003621B7"/>
    <w:rsid w:val="00362FEC"/>
    <w:rsid w:val="00363BB1"/>
    <w:rsid w:val="00363D35"/>
    <w:rsid w:val="0036481A"/>
    <w:rsid w:val="003657F1"/>
    <w:rsid w:val="0037029D"/>
    <w:rsid w:val="00370D05"/>
    <w:rsid w:val="0037174C"/>
    <w:rsid w:val="00371EB3"/>
    <w:rsid w:val="00373665"/>
    <w:rsid w:val="00375E99"/>
    <w:rsid w:val="00376320"/>
    <w:rsid w:val="003776E9"/>
    <w:rsid w:val="00384845"/>
    <w:rsid w:val="00386DD8"/>
    <w:rsid w:val="003920F1"/>
    <w:rsid w:val="00393EE4"/>
    <w:rsid w:val="00397421"/>
    <w:rsid w:val="003A0A60"/>
    <w:rsid w:val="003A16FC"/>
    <w:rsid w:val="003A4F5E"/>
    <w:rsid w:val="003A74B4"/>
    <w:rsid w:val="003A7E47"/>
    <w:rsid w:val="003B1FEA"/>
    <w:rsid w:val="003B40BF"/>
    <w:rsid w:val="003B5F12"/>
    <w:rsid w:val="003B6F40"/>
    <w:rsid w:val="003C2245"/>
    <w:rsid w:val="003C51C4"/>
    <w:rsid w:val="003D2496"/>
    <w:rsid w:val="003D257B"/>
    <w:rsid w:val="003D2786"/>
    <w:rsid w:val="003D7E7E"/>
    <w:rsid w:val="003E156A"/>
    <w:rsid w:val="003E3DE0"/>
    <w:rsid w:val="003E4935"/>
    <w:rsid w:val="003E4E9C"/>
    <w:rsid w:val="003E571E"/>
    <w:rsid w:val="003F1051"/>
    <w:rsid w:val="003F158C"/>
    <w:rsid w:val="003F2845"/>
    <w:rsid w:val="003F299E"/>
    <w:rsid w:val="003F364B"/>
    <w:rsid w:val="003F4485"/>
    <w:rsid w:val="003F5C6B"/>
    <w:rsid w:val="003F7074"/>
    <w:rsid w:val="003F72DC"/>
    <w:rsid w:val="003F79CB"/>
    <w:rsid w:val="00402B7F"/>
    <w:rsid w:val="004048FE"/>
    <w:rsid w:val="00404CA4"/>
    <w:rsid w:val="00406170"/>
    <w:rsid w:val="00410BCD"/>
    <w:rsid w:val="00416FB1"/>
    <w:rsid w:val="004171FB"/>
    <w:rsid w:val="00420A2A"/>
    <w:rsid w:val="00420CA5"/>
    <w:rsid w:val="004213E5"/>
    <w:rsid w:val="00422E17"/>
    <w:rsid w:val="00424B0E"/>
    <w:rsid w:val="00424DD7"/>
    <w:rsid w:val="00426978"/>
    <w:rsid w:val="004305E9"/>
    <w:rsid w:val="00430BCE"/>
    <w:rsid w:val="00431451"/>
    <w:rsid w:val="004315C8"/>
    <w:rsid w:val="004323E6"/>
    <w:rsid w:val="00434136"/>
    <w:rsid w:val="00434B6C"/>
    <w:rsid w:val="00435D38"/>
    <w:rsid w:val="00436D15"/>
    <w:rsid w:val="00437BFB"/>
    <w:rsid w:val="004402D4"/>
    <w:rsid w:val="0044129A"/>
    <w:rsid w:val="0044216D"/>
    <w:rsid w:val="004430F1"/>
    <w:rsid w:val="004445E9"/>
    <w:rsid w:val="004454D7"/>
    <w:rsid w:val="00446293"/>
    <w:rsid w:val="00446C72"/>
    <w:rsid w:val="00446CA9"/>
    <w:rsid w:val="004523C4"/>
    <w:rsid w:val="004523E5"/>
    <w:rsid w:val="0045332A"/>
    <w:rsid w:val="00453ED0"/>
    <w:rsid w:val="00454427"/>
    <w:rsid w:val="00454DDD"/>
    <w:rsid w:val="0045563F"/>
    <w:rsid w:val="0045589D"/>
    <w:rsid w:val="00456670"/>
    <w:rsid w:val="00460D24"/>
    <w:rsid w:val="00462E7F"/>
    <w:rsid w:val="00464482"/>
    <w:rsid w:val="00464766"/>
    <w:rsid w:val="00471B8A"/>
    <w:rsid w:val="004726CF"/>
    <w:rsid w:val="00473950"/>
    <w:rsid w:val="00476423"/>
    <w:rsid w:val="0047644F"/>
    <w:rsid w:val="00476FF7"/>
    <w:rsid w:val="00480F43"/>
    <w:rsid w:val="004830C1"/>
    <w:rsid w:val="00485651"/>
    <w:rsid w:val="004865C1"/>
    <w:rsid w:val="00497959"/>
    <w:rsid w:val="004A1443"/>
    <w:rsid w:val="004A14DE"/>
    <w:rsid w:val="004A1F20"/>
    <w:rsid w:val="004A1F7A"/>
    <w:rsid w:val="004A2F23"/>
    <w:rsid w:val="004A4E2F"/>
    <w:rsid w:val="004A70BA"/>
    <w:rsid w:val="004B0193"/>
    <w:rsid w:val="004B1134"/>
    <w:rsid w:val="004B1746"/>
    <w:rsid w:val="004B22BC"/>
    <w:rsid w:val="004B268A"/>
    <w:rsid w:val="004B3EFD"/>
    <w:rsid w:val="004B461D"/>
    <w:rsid w:val="004B5420"/>
    <w:rsid w:val="004B5CFD"/>
    <w:rsid w:val="004C18CC"/>
    <w:rsid w:val="004C613F"/>
    <w:rsid w:val="004C6DE7"/>
    <w:rsid w:val="004D0D3D"/>
    <w:rsid w:val="004D1474"/>
    <w:rsid w:val="004D453D"/>
    <w:rsid w:val="004D503D"/>
    <w:rsid w:val="004D7918"/>
    <w:rsid w:val="004D7F16"/>
    <w:rsid w:val="004E1497"/>
    <w:rsid w:val="004E1CF9"/>
    <w:rsid w:val="004E5874"/>
    <w:rsid w:val="004E75FF"/>
    <w:rsid w:val="004F3152"/>
    <w:rsid w:val="00500517"/>
    <w:rsid w:val="005016E3"/>
    <w:rsid w:val="00503AA2"/>
    <w:rsid w:val="005049A6"/>
    <w:rsid w:val="00505CA7"/>
    <w:rsid w:val="00506CCA"/>
    <w:rsid w:val="00507F73"/>
    <w:rsid w:val="0051080D"/>
    <w:rsid w:val="0051298C"/>
    <w:rsid w:val="00515D0A"/>
    <w:rsid w:val="00515E80"/>
    <w:rsid w:val="00533819"/>
    <w:rsid w:val="005348D0"/>
    <w:rsid w:val="00535D61"/>
    <w:rsid w:val="005376B0"/>
    <w:rsid w:val="0054082A"/>
    <w:rsid w:val="005430E5"/>
    <w:rsid w:val="00545CB0"/>
    <w:rsid w:val="00546152"/>
    <w:rsid w:val="00546BFE"/>
    <w:rsid w:val="00550090"/>
    <w:rsid w:val="005503D8"/>
    <w:rsid w:val="005512A2"/>
    <w:rsid w:val="00551BE6"/>
    <w:rsid w:val="00551E15"/>
    <w:rsid w:val="00552FAE"/>
    <w:rsid w:val="005547A8"/>
    <w:rsid w:val="00555936"/>
    <w:rsid w:val="0056030A"/>
    <w:rsid w:val="00561733"/>
    <w:rsid w:val="0056269F"/>
    <w:rsid w:val="0056354D"/>
    <w:rsid w:val="0056490D"/>
    <w:rsid w:val="005652B8"/>
    <w:rsid w:val="00566AC4"/>
    <w:rsid w:val="005708E8"/>
    <w:rsid w:val="0057104A"/>
    <w:rsid w:val="00571E80"/>
    <w:rsid w:val="0057393A"/>
    <w:rsid w:val="00573D58"/>
    <w:rsid w:val="005757A0"/>
    <w:rsid w:val="00575A57"/>
    <w:rsid w:val="00580759"/>
    <w:rsid w:val="00580E9D"/>
    <w:rsid w:val="00582035"/>
    <w:rsid w:val="00584374"/>
    <w:rsid w:val="00585760"/>
    <w:rsid w:val="00585990"/>
    <w:rsid w:val="0058699C"/>
    <w:rsid w:val="00592106"/>
    <w:rsid w:val="005934D8"/>
    <w:rsid w:val="00593AE8"/>
    <w:rsid w:val="005A1C7B"/>
    <w:rsid w:val="005A2AE5"/>
    <w:rsid w:val="005A640C"/>
    <w:rsid w:val="005A68A6"/>
    <w:rsid w:val="005B0975"/>
    <w:rsid w:val="005B0E54"/>
    <w:rsid w:val="005B1705"/>
    <w:rsid w:val="005B21FE"/>
    <w:rsid w:val="005B5BC8"/>
    <w:rsid w:val="005B6472"/>
    <w:rsid w:val="005B6BA7"/>
    <w:rsid w:val="005C1CCC"/>
    <w:rsid w:val="005C1CE0"/>
    <w:rsid w:val="005C38A2"/>
    <w:rsid w:val="005C4582"/>
    <w:rsid w:val="005C644A"/>
    <w:rsid w:val="005D171E"/>
    <w:rsid w:val="005D262B"/>
    <w:rsid w:val="005D37D2"/>
    <w:rsid w:val="005D39B3"/>
    <w:rsid w:val="005D4551"/>
    <w:rsid w:val="005D4CC4"/>
    <w:rsid w:val="005D5CDE"/>
    <w:rsid w:val="005D74D4"/>
    <w:rsid w:val="005E0E7A"/>
    <w:rsid w:val="005E0F07"/>
    <w:rsid w:val="005E3293"/>
    <w:rsid w:val="005E3330"/>
    <w:rsid w:val="005E384D"/>
    <w:rsid w:val="005E573B"/>
    <w:rsid w:val="005E5B33"/>
    <w:rsid w:val="005E5F82"/>
    <w:rsid w:val="005E69E4"/>
    <w:rsid w:val="005E78F3"/>
    <w:rsid w:val="005F052B"/>
    <w:rsid w:val="005F1FAC"/>
    <w:rsid w:val="005F20CA"/>
    <w:rsid w:val="005F2481"/>
    <w:rsid w:val="005F24C2"/>
    <w:rsid w:val="005F2CB9"/>
    <w:rsid w:val="005F32AC"/>
    <w:rsid w:val="005F3F9D"/>
    <w:rsid w:val="005F47C9"/>
    <w:rsid w:val="005F5CFB"/>
    <w:rsid w:val="005F68D6"/>
    <w:rsid w:val="0060201B"/>
    <w:rsid w:val="00604185"/>
    <w:rsid w:val="00605F40"/>
    <w:rsid w:val="00607F9B"/>
    <w:rsid w:val="00611B14"/>
    <w:rsid w:val="00613860"/>
    <w:rsid w:val="00615713"/>
    <w:rsid w:val="006173C0"/>
    <w:rsid w:val="00622EBA"/>
    <w:rsid w:val="006258A2"/>
    <w:rsid w:val="00626306"/>
    <w:rsid w:val="0062799F"/>
    <w:rsid w:val="00631215"/>
    <w:rsid w:val="00631B2A"/>
    <w:rsid w:val="00631D69"/>
    <w:rsid w:val="00631E90"/>
    <w:rsid w:val="006338D1"/>
    <w:rsid w:val="006343C9"/>
    <w:rsid w:val="00640930"/>
    <w:rsid w:val="00640D10"/>
    <w:rsid w:val="00644FA1"/>
    <w:rsid w:val="006478AF"/>
    <w:rsid w:val="00652FFC"/>
    <w:rsid w:val="006554FD"/>
    <w:rsid w:val="0065653B"/>
    <w:rsid w:val="00656F74"/>
    <w:rsid w:val="0065728E"/>
    <w:rsid w:val="0066010D"/>
    <w:rsid w:val="00663D3C"/>
    <w:rsid w:val="00664A8C"/>
    <w:rsid w:val="00664B2C"/>
    <w:rsid w:val="00666123"/>
    <w:rsid w:val="00666DAE"/>
    <w:rsid w:val="00667355"/>
    <w:rsid w:val="00667939"/>
    <w:rsid w:val="00672E14"/>
    <w:rsid w:val="00673F71"/>
    <w:rsid w:val="006808EC"/>
    <w:rsid w:val="00680B3C"/>
    <w:rsid w:val="00681518"/>
    <w:rsid w:val="00684730"/>
    <w:rsid w:val="00684B2B"/>
    <w:rsid w:val="0068531F"/>
    <w:rsid w:val="006855D1"/>
    <w:rsid w:val="006903A8"/>
    <w:rsid w:val="006A15DE"/>
    <w:rsid w:val="006B0CF4"/>
    <w:rsid w:val="006B76ED"/>
    <w:rsid w:val="006C0F8A"/>
    <w:rsid w:val="006C21F2"/>
    <w:rsid w:val="006C46F6"/>
    <w:rsid w:val="006C493D"/>
    <w:rsid w:val="006D03C7"/>
    <w:rsid w:val="006D20D1"/>
    <w:rsid w:val="006D403D"/>
    <w:rsid w:val="006D6AFF"/>
    <w:rsid w:val="006D73F9"/>
    <w:rsid w:val="006E625A"/>
    <w:rsid w:val="006E62D1"/>
    <w:rsid w:val="006E6BDD"/>
    <w:rsid w:val="006E7E38"/>
    <w:rsid w:val="006F1B37"/>
    <w:rsid w:val="006F2153"/>
    <w:rsid w:val="006F4FB1"/>
    <w:rsid w:val="006F5834"/>
    <w:rsid w:val="006F584F"/>
    <w:rsid w:val="006F72C1"/>
    <w:rsid w:val="007002E5"/>
    <w:rsid w:val="00700B7F"/>
    <w:rsid w:val="00700BDC"/>
    <w:rsid w:val="007037F2"/>
    <w:rsid w:val="007038EF"/>
    <w:rsid w:val="0070475B"/>
    <w:rsid w:val="0070556F"/>
    <w:rsid w:val="0070623B"/>
    <w:rsid w:val="0070629E"/>
    <w:rsid w:val="0070727B"/>
    <w:rsid w:val="007072FD"/>
    <w:rsid w:val="0071182B"/>
    <w:rsid w:val="007130EE"/>
    <w:rsid w:val="00714D01"/>
    <w:rsid w:val="00717319"/>
    <w:rsid w:val="0071738F"/>
    <w:rsid w:val="007254EA"/>
    <w:rsid w:val="00725566"/>
    <w:rsid w:val="00725A0D"/>
    <w:rsid w:val="00726F13"/>
    <w:rsid w:val="00730A25"/>
    <w:rsid w:val="00731E52"/>
    <w:rsid w:val="007331C7"/>
    <w:rsid w:val="00735FCC"/>
    <w:rsid w:val="00740279"/>
    <w:rsid w:val="00741FED"/>
    <w:rsid w:val="0074488D"/>
    <w:rsid w:val="0074500A"/>
    <w:rsid w:val="007465BF"/>
    <w:rsid w:val="00750544"/>
    <w:rsid w:val="0075244E"/>
    <w:rsid w:val="0075303F"/>
    <w:rsid w:val="00754BCD"/>
    <w:rsid w:val="00755918"/>
    <w:rsid w:val="007566AE"/>
    <w:rsid w:val="007567BC"/>
    <w:rsid w:val="007569AD"/>
    <w:rsid w:val="00756F76"/>
    <w:rsid w:val="007578AA"/>
    <w:rsid w:val="00757DD7"/>
    <w:rsid w:val="00760EB0"/>
    <w:rsid w:val="00762401"/>
    <w:rsid w:val="00764A0B"/>
    <w:rsid w:val="00764CE3"/>
    <w:rsid w:val="00765557"/>
    <w:rsid w:val="0076565C"/>
    <w:rsid w:val="007663BA"/>
    <w:rsid w:val="0076660D"/>
    <w:rsid w:val="0076698C"/>
    <w:rsid w:val="00767A8B"/>
    <w:rsid w:val="00771546"/>
    <w:rsid w:val="007716FD"/>
    <w:rsid w:val="00772351"/>
    <w:rsid w:val="00777B98"/>
    <w:rsid w:val="00780223"/>
    <w:rsid w:val="00780509"/>
    <w:rsid w:val="00781462"/>
    <w:rsid w:val="0078494E"/>
    <w:rsid w:val="00784C4D"/>
    <w:rsid w:val="00784EBF"/>
    <w:rsid w:val="007852C4"/>
    <w:rsid w:val="00785400"/>
    <w:rsid w:val="007866AD"/>
    <w:rsid w:val="00787C57"/>
    <w:rsid w:val="00793982"/>
    <w:rsid w:val="00794646"/>
    <w:rsid w:val="007962D7"/>
    <w:rsid w:val="007A0B09"/>
    <w:rsid w:val="007A2804"/>
    <w:rsid w:val="007A4538"/>
    <w:rsid w:val="007A46ED"/>
    <w:rsid w:val="007A660C"/>
    <w:rsid w:val="007A6978"/>
    <w:rsid w:val="007B0382"/>
    <w:rsid w:val="007B0707"/>
    <w:rsid w:val="007B099D"/>
    <w:rsid w:val="007B3937"/>
    <w:rsid w:val="007B4DEA"/>
    <w:rsid w:val="007C019D"/>
    <w:rsid w:val="007C16A3"/>
    <w:rsid w:val="007C303F"/>
    <w:rsid w:val="007C34FD"/>
    <w:rsid w:val="007C3B8A"/>
    <w:rsid w:val="007C4A72"/>
    <w:rsid w:val="007C6F4F"/>
    <w:rsid w:val="007C748F"/>
    <w:rsid w:val="007D04CE"/>
    <w:rsid w:val="007D0C21"/>
    <w:rsid w:val="007D1B92"/>
    <w:rsid w:val="007D23B1"/>
    <w:rsid w:val="007D4412"/>
    <w:rsid w:val="007D5617"/>
    <w:rsid w:val="007D5676"/>
    <w:rsid w:val="007D57DB"/>
    <w:rsid w:val="007D7DAC"/>
    <w:rsid w:val="007E0C87"/>
    <w:rsid w:val="007E1288"/>
    <w:rsid w:val="007E1973"/>
    <w:rsid w:val="007E2241"/>
    <w:rsid w:val="007E2873"/>
    <w:rsid w:val="007E47F0"/>
    <w:rsid w:val="007E6945"/>
    <w:rsid w:val="007F1820"/>
    <w:rsid w:val="007F3F2A"/>
    <w:rsid w:val="007F450C"/>
    <w:rsid w:val="007F6758"/>
    <w:rsid w:val="007F6BE4"/>
    <w:rsid w:val="00801BB4"/>
    <w:rsid w:val="00802122"/>
    <w:rsid w:val="00804297"/>
    <w:rsid w:val="008051F3"/>
    <w:rsid w:val="00805DC7"/>
    <w:rsid w:val="00807983"/>
    <w:rsid w:val="00810AA3"/>
    <w:rsid w:val="00812F3E"/>
    <w:rsid w:val="008131CA"/>
    <w:rsid w:val="008135D7"/>
    <w:rsid w:val="008136F1"/>
    <w:rsid w:val="00814137"/>
    <w:rsid w:val="00814928"/>
    <w:rsid w:val="008210F1"/>
    <w:rsid w:val="0082307E"/>
    <w:rsid w:val="008237FA"/>
    <w:rsid w:val="008251CC"/>
    <w:rsid w:val="0082565A"/>
    <w:rsid w:val="00825E99"/>
    <w:rsid w:val="0082772A"/>
    <w:rsid w:val="00831A4B"/>
    <w:rsid w:val="00832F22"/>
    <w:rsid w:val="00833209"/>
    <w:rsid w:val="00833A40"/>
    <w:rsid w:val="00833E43"/>
    <w:rsid w:val="00834B1D"/>
    <w:rsid w:val="00834D20"/>
    <w:rsid w:val="00834F68"/>
    <w:rsid w:val="00835F71"/>
    <w:rsid w:val="00837979"/>
    <w:rsid w:val="00842FA7"/>
    <w:rsid w:val="008439B8"/>
    <w:rsid w:val="00843BD3"/>
    <w:rsid w:val="008450D1"/>
    <w:rsid w:val="00846288"/>
    <w:rsid w:val="0084644C"/>
    <w:rsid w:val="008465B8"/>
    <w:rsid w:val="00847D97"/>
    <w:rsid w:val="008505F6"/>
    <w:rsid w:val="00855265"/>
    <w:rsid w:val="00857881"/>
    <w:rsid w:val="00861EF8"/>
    <w:rsid w:val="00864484"/>
    <w:rsid w:val="00867073"/>
    <w:rsid w:val="008672AA"/>
    <w:rsid w:val="008677D2"/>
    <w:rsid w:val="008720D9"/>
    <w:rsid w:val="00874DCC"/>
    <w:rsid w:val="00875D48"/>
    <w:rsid w:val="00877E41"/>
    <w:rsid w:val="00880B6C"/>
    <w:rsid w:val="00883414"/>
    <w:rsid w:val="00885CCA"/>
    <w:rsid w:val="00890BB4"/>
    <w:rsid w:val="00891DB0"/>
    <w:rsid w:val="00893BCF"/>
    <w:rsid w:val="00893D9C"/>
    <w:rsid w:val="008948B5"/>
    <w:rsid w:val="008A144D"/>
    <w:rsid w:val="008A2544"/>
    <w:rsid w:val="008A314C"/>
    <w:rsid w:val="008A3CBA"/>
    <w:rsid w:val="008A3E60"/>
    <w:rsid w:val="008A5C96"/>
    <w:rsid w:val="008A7AE4"/>
    <w:rsid w:val="008B17D8"/>
    <w:rsid w:val="008B2C3E"/>
    <w:rsid w:val="008B5568"/>
    <w:rsid w:val="008B5C76"/>
    <w:rsid w:val="008B60D7"/>
    <w:rsid w:val="008B6CC3"/>
    <w:rsid w:val="008C1726"/>
    <w:rsid w:val="008C453A"/>
    <w:rsid w:val="008C54C5"/>
    <w:rsid w:val="008C561C"/>
    <w:rsid w:val="008C5749"/>
    <w:rsid w:val="008C5996"/>
    <w:rsid w:val="008C5D66"/>
    <w:rsid w:val="008C704A"/>
    <w:rsid w:val="008C7AF0"/>
    <w:rsid w:val="008D13FD"/>
    <w:rsid w:val="008D2566"/>
    <w:rsid w:val="008D370D"/>
    <w:rsid w:val="008D4D7C"/>
    <w:rsid w:val="008D5EDA"/>
    <w:rsid w:val="008E24F7"/>
    <w:rsid w:val="008E7C3A"/>
    <w:rsid w:val="008F072E"/>
    <w:rsid w:val="008F5A61"/>
    <w:rsid w:val="008F6B5A"/>
    <w:rsid w:val="008F7663"/>
    <w:rsid w:val="009009E1"/>
    <w:rsid w:val="009038AC"/>
    <w:rsid w:val="009042A0"/>
    <w:rsid w:val="009055C0"/>
    <w:rsid w:val="00906099"/>
    <w:rsid w:val="00910066"/>
    <w:rsid w:val="00912526"/>
    <w:rsid w:val="00914488"/>
    <w:rsid w:val="00915E99"/>
    <w:rsid w:val="009163B7"/>
    <w:rsid w:val="00917CC6"/>
    <w:rsid w:val="009241BF"/>
    <w:rsid w:val="00925345"/>
    <w:rsid w:val="009257B1"/>
    <w:rsid w:val="00926A6C"/>
    <w:rsid w:val="0092708A"/>
    <w:rsid w:val="009301EA"/>
    <w:rsid w:val="00930F6A"/>
    <w:rsid w:val="00931C33"/>
    <w:rsid w:val="00932800"/>
    <w:rsid w:val="0093408E"/>
    <w:rsid w:val="009340B8"/>
    <w:rsid w:val="0093548C"/>
    <w:rsid w:val="009377E7"/>
    <w:rsid w:val="00937967"/>
    <w:rsid w:val="00937F65"/>
    <w:rsid w:val="0094199D"/>
    <w:rsid w:val="00941CBB"/>
    <w:rsid w:val="00944319"/>
    <w:rsid w:val="00947A56"/>
    <w:rsid w:val="00951AD0"/>
    <w:rsid w:val="00954239"/>
    <w:rsid w:val="0095473E"/>
    <w:rsid w:val="00954890"/>
    <w:rsid w:val="00954DF3"/>
    <w:rsid w:val="00955AA7"/>
    <w:rsid w:val="009569C9"/>
    <w:rsid w:val="009618D2"/>
    <w:rsid w:val="00962C52"/>
    <w:rsid w:val="0096452D"/>
    <w:rsid w:val="009730BF"/>
    <w:rsid w:val="00974BBC"/>
    <w:rsid w:val="00975773"/>
    <w:rsid w:val="009759ED"/>
    <w:rsid w:val="00975CD5"/>
    <w:rsid w:val="00981E15"/>
    <w:rsid w:val="00982ECA"/>
    <w:rsid w:val="00984102"/>
    <w:rsid w:val="00986292"/>
    <w:rsid w:val="009868C8"/>
    <w:rsid w:val="00987856"/>
    <w:rsid w:val="00987E0F"/>
    <w:rsid w:val="00987FA9"/>
    <w:rsid w:val="00992FFB"/>
    <w:rsid w:val="00997EA0"/>
    <w:rsid w:val="009A0F16"/>
    <w:rsid w:val="009A3A2D"/>
    <w:rsid w:val="009A4C34"/>
    <w:rsid w:val="009A7E61"/>
    <w:rsid w:val="009B125D"/>
    <w:rsid w:val="009B1741"/>
    <w:rsid w:val="009B1C80"/>
    <w:rsid w:val="009B24CF"/>
    <w:rsid w:val="009B2612"/>
    <w:rsid w:val="009B26D1"/>
    <w:rsid w:val="009C0129"/>
    <w:rsid w:val="009C267F"/>
    <w:rsid w:val="009C5503"/>
    <w:rsid w:val="009C5784"/>
    <w:rsid w:val="009C61D9"/>
    <w:rsid w:val="009C6CCC"/>
    <w:rsid w:val="009C7482"/>
    <w:rsid w:val="009D0A04"/>
    <w:rsid w:val="009D0C3A"/>
    <w:rsid w:val="009D4D9A"/>
    <w:rsid w:val="009D6F76"/>
    <w:rsid w:val="009E278F"/>
    <w:rsid w:val="009E2B29"/>
    <w:rsid w:val="009E2EA8"/>
    <w:rsid w:val="009E3F76"/>
    <w:rsid w:val="009F09AD"/>
    <w:rsid w:val="009F22B3"/>
    <w:rsid w:val="009F344B"/>
    <w:rsid w:val="009F34D2"/>
    <w:rsid w:val="009F4328"/>
    <w:rsid w:val="009F7EC8"/>
    <w:rsid w:val="00A002F7"/>
    <w:rsid w:val="00A00E2B"/>
    <w:rsid w:val="00A0117A"/>
    <w:rsid w:val="00A01A98"/>
    <w:rsid w:val="00A036ED"/>
    <w:rsid w:val="00A05467"/>
    <w:rsid w:val="00A06C99"/>
    <w:rsid w:val="00A06F35"/>
    <w:rsid w:val="00A070B6"/>
    <w:rsid w:val="00A13DB5"/>
    <w:rsid w:val="00A14828"/>
    <w:rsid w:val="00A22DB3"/>
    <w:rsid w:val="00A23EF2"/>
    <w:rsid w:val="00A2633B"/>
    <w:rsid w:val="00A33DE5"/>
    <w:rsid w:val="00A34BBB"/>
    <w:rsid w:val="00A360A0"/>
    <w:rsid w:val="00A37B7F"/>
    <w:rsid w:val="00A44007"/>
    <w:rsid w:val="00A44A0F"/>
    <w:rsid w:val="00A4564D"/>
    <w:rsid w:val="00A462D8"/>
    <w:rsid w:val="00A46593"/>
    <w:rsid w:val="00A51A7F"/>
    <w:rsid w:val="00A531B3"/>
    <w:rsid w:val="00A533ED"/>
    <w:rsid w:val="00A566B0"/>
    <w:rsid w:val="00A60638"/>
    <w:rsid w:val="00A613E3"/>
    <w:rsid w:val="00A61519"/>
    <w:rsid w:val="00A616EA"/>
    <w:rsid w:val="00A62701"/>
    <w:rsid w:val="00A635D4"/>
    <w:rsid w:val="00A636CE"/>
    <w:rsid w:val="00A64292"/>
    <w:rsid w:val="00A64C38"/>
    <w:rsid w:val="00A6605A"/>
    <w:rsid w:val="00A67A98"/>
    <w:rsid w:val="00A67DF5"/>
    <w:rsid w:val="00A70BF2"/>
    <w:rsid w:val="00A71632"/>
    <w:rsid w:val="00A71F03"/>
    <w:rsid w:val="00A732B5"/>
    <w:rsid w:val="00A739EB"/>
    <w:rsid w:val="00A74A7C"/>
    <w:rsid w:val="00A7510B"/>
    <w:rsid w:val="00A81334"/>
    <w:rsid w:val="00A822B1"/>
    <w:rsid w:val="00A836F9"/>
    <w:rsid w:val="00A844A6"/>
    <w:rsid w:val="00A85E0A"/>
    <w:rsid w:val="00A901E2"/>
    <w:rsid w:val="00A9150A"/>
    <w:rsid w:val="00A9416E"/>
    <w:rsid w:val="00A95C26"/>
    <w:rsid w:val="00A96428"/>
    <w:rsid w:val="00A968AF"/>
    <w:rsid w:val="00A97244"/>
    <w:rsid w:val="00A97824"/>
    <w:rsid w:val="00AA1C21"/>
    <w:rsid w:val="00AA2472"/>
    <w:rsid w:val="00AA5734"/>
    <w:rsid w:val="00AA5A7C"/>
    <w:rsid w:val="00AA6A81"/>
    <w:rsid w:val="00AB2484"/>
    <w:rsid w:val="00AB2986"/>
    <w:rsid w:val="00AB2DAD"/>
    <w:rsid w:val="00AB4242"/>
    <w:rsid w:val="00AB5664"/>
    <w:rsid w:val="00AB64A9"/>
    <w:rsid w:val="00AB6899"/>
    <w:rsid w:val="00AB6B88"/>
    <w:rsid w:val="00AC0583"/>
    <w:rsid w:val="00AC09C3"/>
    <w:rsid w:val="00AC0CE1"/>
    <w:rsid w:val="00AC0D25"/>
    <w:rsid w:val="00AC20D2"/>
    <w:rsid w:val="00AC5C58"/>
    <w:rsid w:val="00AD0724"/>
    <w:rsid w:val="00AD1476"/>
    <w:rsid w:val="00AD1BE5"/>
    <w:rsid w:val="00AD211C"/>
    <w:rsid w:val="00AD5E5F"/>
    <w:rsid w:val="00AE0771"/>
    <w:rsid w:val="00AE1D6F"/>
    <w:rsid w:val="00AE4A5F"/>
    <w:rsid w:val="00AE4D53"/>
    <w:rsid w:val="00AE5AA8"/>
    <w:rsid w:val="00AE6FA1"/>
    <w:rsid w:val="00AE7396"/>
    <w:rsid w:val="00AF22FA"/>
    <w:rsid w:val="00AF2D36"/>
    <w:rsid w:val="00AF36EB"/>
    <w:rsid w:val="00AF451C"/>
    <w:rsid w:val="00AF4A38"/>
    <w:rsid w:val="00AF58CC"/>
    <w:rsid w:val="00AF5E78"/>
    <w:rsid w:val="00AF6071"/>
    <w:rsid w:val="00AF63CC"/>
    <w:rsid w:val="00B04317"/>
    <w:rsid w:val="00B066A0"/>
    <w:rsid w:val="00B06F0E"/>
    <w:rsid w:val="00B06F99"/>
    <w:rsid w:val="00B101C8"/>
    <w:rsid w:val="00B11E02"/>
    <w:rsid w:val="00B16AD9"/>
    <w:rsid w:val="00B17337"/>
    <w:rsid w:val="00B20F66"/>
    <w:rsid w:val="00B213D1"/>
    <w:rsid w:val="00B231AE"/>
    <w:rsid w:val="00B23F44"/>
    <w:rsid w:val="00B25693"/>
    <w:rsid w:val="00B25A55"/>
    <w:rsid w:val="00B265DA"/>
    <w:rsid w:val="00B27E2F"/>
    <w:rsid w:val="00B307BD"/>
    <w:rsid w:val="00B30BB9"/>
    <w:rsid w:val="00B31AA8"/>
    <w:rsid w:val="00B33514"/>
    <w:rsid w:val="00B35E93"/>
    <w:rsid w:val="00B37CCE"/>
    <w:rsid w:val="00B40180"/>
    <w:rsid w:val="00B41D8D"/>
    <w:rsid w:val="00B421A5"/>
    <w:rsid w:val="00B43B10"/>
    <w:rsid w:val="00B43CFF"/>
    <w:rsid w:val="00B45C38"/>
    <w:rsid w:val="00B4604B"/>
    <w:rsid w:val="00B47356"/>
    <w:rsid w:val="00B50CD9"/>
    <w:rsid w:val="00B51504"/>
    <w:rsid w:val="00B5257C"/>
    <w:rsid w:val="00B52764"/>
    <w:rsid w:val="00B53BE1"/>
    <w:rsid w:val="00B553D7"/>
    <w:rsid w:val="00B567CA"/>
    <w:rsid w:val="00B57FE1"/>
    <w:rsid w:val="00B61809"/>
    <w:rsid w:val="00B61EB3"/>
    <w:rsid w:val="00B629E7"/>
    <w:rsid w:val="00B63962"/>
    <w:rsid w:val="00B7073C"/>
    <w:rsid w:val="00B7157C"/>
    <w:rsid w:val="00B74519"/>
    <w:rsid w:val="00B757D8"/>
    <w:rsid w:val="00B75ED2"/>
    <w:rsid w:val="00B803E3"/>
    <w:rsid w:val="00B8168A"/>
    <w:rsid w:val="00B83177"/>
    <w:rsid w:val="00B84B34"/>
    <w:rsid w:val="00B856B0"/>
    <w:rsid w:val="00B85E86"/>
    <w:rsid w:val="00B90D1A"/>
    <w:rsid w:val="00B95256"/>
    <w:rsid w:val="00B96847"/>
    <w:rsid w:val="00B977EE"/>
    <w:rsid w:val="00BA16AC"/>
    <w:rsid w:val="00BA511B"/>
    <w:rsid w:val="00BA5753"/>
    <w:rsid w:val="00BA5C04"/>
    <w:rsid w:val="00BA6BAA"/>
    <w:rsid w:val="00BB052A"/>
    <w:rsid w:val="00BB1273"/>
    <w:rsid w:val="00BB1C19"/>
    <w:rsid w:val="00BB493B"/>
    <w:rsid w:val="00BC024A"/>
    <w:rsid w:val="00BC0E62"/>
    <w:rsid w:val="00BC2B2B"/>
    <w:rsid w:val="00BC4276"/>
    <w:rsid w:val="00BC6937"/>
    <w:rsid w:val="00BC76C1"/>
    <w:rsid w:val="00BD2C4B"/>
    <w:rsid w:val="00BD5550"/>
    <w:rsid w:val="00BD6CE6"/>
    <w:rsid w:val="00BE32FB"/>
    <w:rsid w:val="00BE49A6"/>
    <w:rsid w:val="00BE65FC"/>
    <w:rsid w:val="00BE7F00"/>
    <w:rsid w:val="00BF0960"/>
    <w:rsid w:val="00BF0A0B"/>
    <w:rsid w:val="00BF26C1"/>
    <w:rsid w:val="00BF2B8E"/>
    <w:rsid w:val="00BF3DA6"/>
    <w:rsid w:val="00BF4964"/>
    <w:rsid w:val="00BF55DB"/>
    <w:rsid w:val="00C00283"/>
    <w:rsid w:val="00C008AA"/>
    <w:rsid w:val="00C02208"/>
    <w:rsid w:val="00C031EC"/>
    <w:rsid w:val="00C040AB"/>
    <w:rsid w:val="00C0587D"/>
    <w:rsid w:val="00C05CBC"/>
    <w:rsid w:val="00C07C40"/>
    <w:rsid w:val="00C07F28"/>
    <w:rsid w:val="00C1372E"/>
    <w:rsid w:val="00C14A23"/>
    <w:rsid w:val="00C169AF"/>
    <w:rsid w:val="00C20772"/>
    <w:rsid w:val="00C20A32"/>
    <w:rsid w:val="00C22290"/>
    <w:rsid w:val="00C23415"/>
    <w:rsid w:val="00C23B1B"/>
    <w:rsid w:val="00C26AB1"/>
    <w:rsid w:val="00C30919"/>
    <w:rsid w:val="00C310D7"/>
    <w:rsid w:val="00C3214D"/>
    <w:rsid w:val="00C3281A"/>
    <w:rsid w:val="00C32CA2"/>
    <w:rsid w:val="00C354AE"/>
    <w:rsid w:val="00C35D5E"/>
    <w:rsid w:val="00C37865"/>
    <w:rsid w:val="00C37AB1"/>
    <w:rsid w:val="00C41FB0"/>
    <w:rsid w:val="00C45E58"/>
    <w:rsid w:val="00C464C4"/>
    <w:rsid w:val="00C4695A"/>
    <w:rsid w:val="00C470F6"/>
    <w:rsid w:val="00C4711A"/>
    <w:rsid w:val="00C478B7"/>
    <w:rsid w:val="00C52CDE"/>
    <w:rsid w:val="00C54ED8"/>
    <w:rsid w:val="00C5591C"/>
    <w:rsid w:val="00C579B4"/>
    <w:rsid w:val="00C607A8"/>
    <w:rsid w:val="00C61CBC"/>
    <w:rsid w:val="00C65F65"/>
    <w:rsid w:val="00C6633E"/>
    <w:rsid w:val="00C7180C"/>
    <w:rsid w:val="00C719E8"/>
    <w:rsid w:val="00C728CB"/>
    <w:rsid w:val="00C7377F"/>
    <w:rsid w:val="00C73E37"/>
    <w:rsid w:val="00C765F8"/>
    <w:rsid w:val="00C801C8"/>
    <w:rsid w:val="00C80A57"/>
    <w:rsid w:val="00C82C3C"/>
    <w:rsid w:val="00C856B9"/>
    <w:rsid w:val="00C86118"/>
    <w:rsid w:val="00C866E3"/>
    <w:rsid w:val="00C8723A"/>
    <w:rsid w:val="00C873C3"/>
    <w:rsid w:val="00C87E07"/>
    <w:rsid w:val="00C87EC1"/>
    <w:rsid w:val="00C920B9"/>
    <w:rsid w:val="00C92C62"/>
    <w:rsid w:val="00C94502"/>
    <w:rsid w:val="00CA042F"/>
    <w:rsid w:val="00CA1A43"/>
    <w:rsid w:val="00CA4FC1"/>
    <w:rsid w:val="00CB18D9"/>
    <w:rsid w:val="00CB1AAD"/>
    <w:rsid w:val="00CB1F4C"/>
    <w:rsid w:val="00CB24EC"/>
    <w:rsid w:val="00CB456F"/>
    <w:rsid w:val="00CB5905"/>
    <w:rsid w:val="00CC1954"/>
    <w:rsid w:val="00CC28CE"/>
    <w:rsid w:val="00CC2B9D"/>
    <w:rsid w:val="00CD1DA6"/>
    <w:rsid w:val="00CD2015"/>
    <w:rsid w:val="00CD21B7"/>
    <w:rsid w:val="00CD2931"/>
    <w:rsid w:val="00CD48B9"/>
    <w:rsid w:val="00CD5EF3"/>
    <w:rsid w:val="00CD7412"/>
    <w:rsid w:val="00CE0F34"/>
    <w:rsid w:val="00CE0FE9"/>
    <w:rsid w:val="00CE1393"/>
    <w:rsid w:val="00CE235E"/>
    <w:rsid w:val="00CE311D"/>
    <w:rsid w:val="00CE6DF7"/>
    <w:rsid w:val="00CF02A0"/>
    <w:rsid w:val="00CF1AAD"/>
    <w:rsid w:val="00CF5FDA"/>
    <w:rsid w:val="00CF70E1"/>
    <w:rsid w:val="00D02361"/>
    <w:rsid w:val="00D0486B"/>
    <w:rsid w:val="00D07706"/>
    <w:rsid w:val="00D17700"/>
    <w:rsid w:val="00D2294A"/>
    <w:rsid w:val="00D22FE6"/>
    <w:rsid w:val="00D23420"/>
    <w:rsid w:val="00D265C2"/>
    <w:rsid w:val="00D304A9"/>
    <w:rsid w:val="00D30DDA"/>
    <w:rsid w:val="00D32661"/>
    <w:rsid w:val="00D332AB"/>
    <w:rsid w:val="00D337FB"/>
    <w:rsid w:val="00D33C82"/>
    <w:rsid w:val="00D357A5"/>
    <w:rsid w:val="00D47D06"/>
    <w:rsid w:val="00D47D58"/>
    <w:rsid w:val="00D50252"/>
    <w:rsid w:val="00D514CD"/>
    <w:rsid w:val="00D51D1A"/>
    <w:rsid w:val="00D51E7B"/>
    <w:rsid w:val="00D527D2"/>
    <w:rsid w:val="00D550C8"/>
    <w:rsid w:val="00D550D4"/>
    <w:rsid w:val="00D60C43"/>
    <w:rsid w:val="00D6422A"/>
    <w:rsid w:val="00D64F04"/>
    <w:rsid w:val="00D67E0F"/>
    <w:rsid w:val="00D7011C"/>
    <w:rsid w:val="00D72FD9"/>
    <w:rsid w:val="00D73B95"/>
    <w:rsid w:val="00D76830"/>
    <w:rsid w:val="00D80B6B"/>
    <w:rsid w:val="00D80FC9"/>
    <w:rsid w:val="00D8130E"/>
    <w:rsid w:val="00D81D63"/>
    <w:rsid w:val="00D841E8"/>
    <w:rsid w:val="00D869EF"/>
    <w:rsid w:val="00DA3178"/>
    <w:rsid w:val="00DA31A0"/>
    <w:rsid w:val="00DA36E6"/>
    <w:rsid w:val="00DA3C34"/>
    <w:rsid w:val="00DB053F"/>
    <w:rsid w:val="00DB056A"/>
    <w:rsid w:val="00DB3D42"/>
    <w:rsid w:val="00DB493A"/>
    <w:rsid w:val="00DB4E16"/>
    <w:rsid w:val="00DC0396"/>
    <w:rsid w:val="00DC0BA1"/>
    <w:rsid w:val="00DC412E"/>
    <w:rsid w:val="00DD3EA8"/>
    <w:rsid w:val="00DD420D"/>
    <w:rsid w:val="00DD45A1"/>
    <w:rsid w:val="00DD5438"/>
    <w:rsid w:val="00DD5753"/>
    <w:rsid w:val="00DD63EA"/>
    <w:rsid w:val="00DE4816"/>
    <w:rsid w:val="00DE4BAD"/>
    <w:rsid w:val="00DE5562"/>
    <w:rsid w:val="00DE69BC"/>
    <w:rsid w:val="00DE780C"/>
    <w:rsid w:val="00DF0BD7"/>
    <w:rsid w:val="00DF2D77"/>
    <w:rsid w:val="00DF32EA"/>
    <w:rsid w:val="00DF3A6F"/>
    <w:rsid w:val="00DF42CD"/>
    <w:rsid w:val="00DF6807"/>
    <w:rsid w:val="00DF7813"/>
    <w:rsid w:val="00E00DD6"/>
    <w:rsid w:val="00E04F26"/>
    <w:rsid w:val="00E060CA"/>
    <w:rsid w:val="00E11E23"/>
    <w:rsid w:val="00E12D85"/>
    <w:rsid w:val="00E13058"/>
    <w:rsid w:val="00E130A7"/>
    <w:rsid w:val="00E13FC3"/>
    <w:rsid w:val="00E16156"/>
    <w:rsid w:val="00E17612"/>
    <w:rsid w:val="00E22C76"/>
    <w:rsid w:val="00E22CC3"/>
    <w:rsid w:val="00E257D6"/>
    <w:rsid w:val="00E309F9"/>
    <w:rsid w:val="00E3168B"/>
    <w:rsid w:val="00E32039"/>
    <w:rsid w:val="00E32823"/>
    <w:rsid w:val="00E32856"/>
    <w:rsid w:val="00E3399D"/>
    <w:rsid w:val="00E33F28"/>
    <w:rsid w:val="00E34146"/>
    <w:rsid w:val="00E355AD"/>
    <w:rsid w:val="00E40810"/>
    <w:rsid w:val="00E40A67"/>
    <w:rsid w:val="00E42577"/>
    <w:rsid w:val="00E433DA"/>
    <w:rsid w:val="00E436D0"/>
    <w:rsid w:val="00E44518"/>
    <w:rsid w:val="00E460A5"/>
    <w:rsid w:val="00E50167"/>
    <w:rsid w:val="00E51184"/>
    <w:rsid w:val="00E513C1"/>
    <w:rsid w:val="00E51DDB"/>
    <w:rsid w:val="00E5265A"/>
    <w:rsid w:val="00E541A0"/>
    <w:rsid w:val="00E55B5F"/>
    <w:rsid w:val="00E55C1B"/>
    <w:rsid w:val="00E55EF8"/>
    <w:rsid w:val="00E56217"/>
    <w:rsid w:val="00E56969"/>
    <w:rsid w:val="00E56B48"/>
    <w:rsid w:val="00E60A47"/>
    <w:rsid w:val="00E6131E"/>
    <w:rsid w:val="00E61D99"/>
    <w:rsid w:val="00E62A35"/>
    <w:rsid w:val="00E643E6"/>
    <w:rsid w:val="00E65EDE"/>
    <w:rsid w:val="00E703FB"/>
    <w:rsid w:val="00E70B32"/>
    <w:rsid w:val="00E72B97"/>
    <w:rsid w:val="00E7610B"/>
    <w:rsid w:val="00E777BD"/>
    <w:rsid w:val="00E777E9"/>
    <w:rsid w:val="00E808D0"/>
    <w:rsid w:val="00E82145"/>
    <w:rsid w:val="00E82C0D"/>
    <w:rsid w:val="00E82E5A"/>
    <w:rsid w:val="00E85C94"/>
    <w:rsid w:val="00E85EDE"/>
    <w:rsid w:val="00E866E3"/>
    <w:rsid w:val="00E909D5"/>
    <w:rsid w:val="00E9786D"/>
    <w:rsid w:val="00EA0037"/>
    <w:rsid w:val="00EA0D56"/>
    <w:rsid w:val="00EA2D55"/>
    <w:rsid w:val="00EA2D8C"/>
    <w:rsid w:val="00EB070B"/>
    <w:rsid w:val="00EB2453"/>
    <w:rsid w:val="00EB2549"/>
    <w:rsid w:val="00EB2A43"/>
    <w:rsid w:val="00EB4807"/>
    <w:rsid w:val="00EB5F63"/>
    <w:rsid w:val="00EB6E08"/>
    <w:rsid w:val="00EB7436"/>
    <w:rsid w:val="00EC0614"/>
    <w:rsid w:val="00EC1089"/>
    <w:rsid w:val="00EC10B9"/>
    <w:rsid w:val="00EC25D3"/>
    <w:rsid w:val="00EC4717"/>
    <w:rsid w:val="00EC4F40"/>
    <w:rsid w:val="00ED1177"/>
    <w:rsid w:val="00ED599B"/>
    <w:rsid w:val="00EE00B6"/>
    <w:rsid w:val="00EE104A"/>
    <w:rsid w:val="00EE128F"/>
    <w:rsid w:val="00EE237F"/>
    <w:rsid w:val="00EE2DA3"/>
    <w:rsid w:val="00EE4399"/>
    <w:rsid w:val="00EE44C3"/>
    <w:rsid w:val="00EF2CC9"/>
    <w:rsid w:val="00EF414E"/>
    <w:rsid w:val="00EF44E5"/>
    <w:rsid w:val="00EF525B"/>
    <w:rsid w:val="00EF7072"/>
    <w:rsid w:val="00F02785"/>
    <w:rsid w:val="00F06367"/>
    <w:rsid w:val="00F06E4B"/>
    <w:rsid w:val="00F077A4"/>
    <w:rsid w:val="00F07CDC"/>
    <w:rsid w:val="00F11421"/>
    <w:rsid w:val="00F14023"/>
    <w:rsid w:val="00F20E45"/>
    <w:rsid w:val="00F21136"/>
    <w:rsid w:val="00F21241"/>
    <w:rsid w:val="00F21D76"/>
    <w:rsid w:val="00F242F7"/>
    <w:rsid w:val="00F249D6"/>
    <w:rsid w:val="00F2566A"/>
    <w:rsid w:val="00F314CC"/>
    <w:rsid w:val="00F3151B"/>
    <w:rsid w:val="00F355EE"/>
    <w:rsid w:val="00F36BC4"/>
    <w:rsid w:val="00F40714"/>
    <w:rsid w:val="00F422E6"/>
    <w:rsid w:val="00F4278D"/>
    <w:rsid w:val="00F45F82"/>
    <w:rsid w:val="00F46301"/>
    <w:rsid w:val="00F47870"/>
    <w:rsid w:val="00F50B0E"/>
    <w:rsid w:val="00F51507"/>
    <w:rsid w:val="00F51BAE"/>
    <w:rsid w:val="00F52614"/>
    <w:rsid w:val="00F5282F"/>
    <w:rsid w:val="00F54570"/>
    <w:rsid w:val="00F54883"/>
    <w:rsid w:val="00F57D42"/>
    <w:rsid w:val="00F6389A"/>
    <w:rsid w:val="00F63CE5"/>
    <w:rsid w:val="00F662B2"/>
    <w:rsid w:val="00F714A3"/>
    <w:rsid w:val="00F75C98"/>
    <w:rsid w:val="00F764DE"/>
    <w:rsid w:val="00F77D59"/>
    <w:rsid w:val="00F82A26"/>
    <w:rsid w:val="00F83283"/>
    <w:rsid w:val="00F84531"/>
    <w:rsid w:val="00F910C5"/>
    <w:rsid w:val="00F92585"/>
    <w:rsid w:val="00F92981"/>
    <w:rsid w:val="00F93FD3"/>
    <w:rsid w:val="00FA1F56"/>
    <w:rsid w:val="00FA34F3"/>
    <w:rsid w:val="00FA549D"/>
    <w:rsid w:val="00FA6EB5"/>
    <w:rsid w:val="00FA70F8"/>
    <w:rsid w:val="00FA79B5"/>
    <w:rsid w:val="00FB0B17"/>
    <w:rsid w:val="00FB3331"/>
    <w:rsid w:val="00FB38C2"/>
    <w:rsid w:val="00FB43FA"/>
    <w:rsid w:val="00FB44F5"/>
    <w:rsid w:val="00FB5B1B"/>
    <w:rsid w:val="00FB6EF3"/>
    <w:rsid w:val="00FB75F2"/>
    <w:rsid w:val="00FB7ECE"/>
    <w:rsid w:val="00FC0DBA"/>
    <w:rsid w:val="00FC1846"/>
    <w:rsid w:val="00FC34E0"/>
    <w:rsid w:val="00FC4EEC"/>
    <w:rsid w:val="00FC4F01"/>
    <w:rsid w:val="00FC77BC"/>
    <w:rsid w:val="00FC7AB2"/>
    <w:rsid w:val="00FC7E70"/>
    <w:rsid w:val="00FD3100"/>
    <w:rsid w:val="00FD50C3"/>
    <w:rsid w:val="00FD67D4"/>
    <w:rsid w:val="00FD6C91"/>
    <w:rsid w:val="00FD7895"/>
    <w:rsid w:val="00FE2005"/>
    <w:rsid w:val="00FE2B0D"/>
    <w:rsid w:val="00FE4C28"/>
    <w:rsid w:val="00FE52F4"/>
    <w:rsid w:val="00FE5940"/>
    <w:rsid w:val="00FE738E"/>
    <w:rsid w:val="00FE73AF"/>
    <w:rsid w:val="00FF1723"/>
    <w:rsid w:val="00FF30D1"/>
    <w:rsid w:val="00FF4F20"/>
    <w:rsid w:val="00FF5834"/>
    <w:rsid w:val="00FF7A74"/>
    <w:rsid w:val="015645BF"/>
    <w:rsid w:val="015D765B"/>
    <w:rsid w:val="02B42A97"/>
    <w:rsid w:val="035B486D"/>
    <w:rsid w:val="049D4135"/>
    <w:rsid w:val="06DE3AA4"/>
    <w:rsid w:val="07B77ECA"/>
    <w:rsid w:val="090E2733"/>
    <w:rsid w:val="0A1B2A8F"/>
    <w:rsid w:val="0A543F82"/>
    <w:rsid w:val="0B173B3F"/>
    <w:rsid w:val="0B634CA4"/>
    <w:rsid w:val="0BBD1785"/>
    <w:rsid w:val="0C820867"/>
    <w:rsid w:val="0CCC4D7F"/>
    <w:rsid w:val="0D44044C"/>
    <w:rsid w:val="0D540F2E"/>
    <w:rsid w:val="0EC65775"/>
    <w:rsid w:val="0FDE0678"/>
    <w:rsid w:val="10667D13"/>
    <w:rsid w:val="12182D95"/>
    <w:rsid w:val="13A65CFB"/>
    <w:rsid w:val="13FC352B"/>
    <w:rsid w:val="153114C8"/>
    <w:rsid w:val="162F1DE8"/>
    <w:rsid w:val="18802538"/>
    <w:rsid w:val="193A16E4"/>
    <w:rsid w:val="19981ED5"/>
    <w:rsid w:val="1AD067B7"/>
    <w:rsid w:val="1B174A6C"/>
    <w:rsid w:val="1CBC6093"/>
    <w:rsid w:val="1D3F6B9B"/>
    <w:rsid w:val="1E1265D2"/>
    <w:rsid w:val="1EBB4EB6"/>
    <w:rsid w:val="1F9C252E"/>
    <w:rsid w:val="1FB34580"/>
    <w:rsid w:val="2021436A"/>
    <w:rsid w:val="20774F89"/>
    <w:rsid w:val="215913B1"/>
    <w:rsid w:val="22AE6830"/>
    <w:rsid w:val="23055DCC"/>
    <w:rsid w:val="26CC00B6"/>
    <w:rsid w:val="270432DE"/>
    <w:rsid w:val="28FB6465"/>
    <w:rsid w:val="29C91260"/>
    <w:rsid w:val="2C3E6B42"/>
    <w:rsid w:val="2CBE0FF0"/>
    <w:rsid w:val="2D340C4C"/>
    <w:rsid w:val="2E080103"/>
    <w:rsid w:val="2E74718D"/>
    <w:rsid w:val="30660CBA"/>
    <w:rsid w:val="30BC2CEA"/>
    <w:rsid w:val="320B2184"/>
    <w:rsid w:val="3514661D"/>
    <w:rsid w:val="351B68BA"/>
    <w:rsid w:val="37735BFD"/>
    <w:rsid w:val="388A5E4D"/>
    <w:rsid w:val="38EB5DBD"/>
    <w:rsid w:val="39CD410F"/>
    <w:rsid w:val="3A0C44B2"/>
    <w:rsid w:val="3A6356C7"/>
    <w:rsid w:val="3BF15B76"/>
    <w:rsid w:val="3D0A3301"/>
    <w:rsid w:val="3E1336CD"/>
    <w:rsid w:val="3F08659E"/>
    <w:rsid w:val="3F153130"/>
    <w:rsid w:val="402E0381"/>
    <w:rsid w:val="40323547"/>
    <w:rsid w:val="40581EAD"/>
    <w:rsid w:val="41143752"/>
    <w:rsid w:val="41954B9E"/>
    <w:rsid w:val="42362C04"/>
    <w:rsid w:val="42A64F6E"/>
    <w:rsid w:val="43123F70"/>
    <w:rsid w:val="43A95984"/>
    <w:rsid w:val="44CE56B7"/>
    <w:rsid w:val="44EF404C"/>
    <w:rsid w:val="45467A82"/>
    <w:rsid w:val="459E1156"/>
    <w:rsid w:val="47852E4E"/>
    <w:rsid w:val="48475130"/>
    <w:rsid w:val="4A313C91"/>
    <w:rsid w:val="4DD9350B"/>
    <w:rsid w:val="4E2E25A7"/>
    <w:rsid w:val="50CA60A8"/>
    <w:rsid w:val="5160735F"/>
    <w:rsid w:val="51C8017B"/>
    <w:rsid w:val="51CA27B9"/>
    <w:rsid w:val="52BB4367"/>
    <w:rsid w:val="5430108F"/>
    <w:rsid w:val="5567368C"/>
    <w:rsid w:val="556D491A"/>
    <w:rsid w:val="56EF64B8"/>
    <w:rsid w:val="57AF3384"/>
    <w:rsid w:val="57D37333"/>
    <w:rsid w:val="5B3566A8"/>
    <w:rsid w:val="5B3E4D15"/>
    <w:rsid w:val="5C036F81"/>
    <w:rsid w:val="5C9660E2"/>
    <w:rsid w:val="5CE32E9A"/>
    <w:rsid w:val="5D04249D"/>
    <w:rsid w:val="634F4E2B"/>
    <w:rsid w:val="6456037B"/>
    <w:rsid w:val="65242D74"/>
    <w:rsid w:val="65C54E76"/>
    <w:rsid w:val="66E763F9"/>
    <w:rsid w:val="67385633"/>
    <w:rsid w:val="67543241"/>
    <w:rsid w:val="679237CB"/>
    <w:rsid w:val="681812EF"/>
    <w:rsid w:val="68EB4849"/>
    <w:rsid w:val="6A4B51AA"/>
    <w:rsid w:val="6BB83A46"/>
    <w:rsid w:val="6C91283B"/>
    <w:rsid w:val="6CDE6FCB"/>
    <w:rsid w:val="6D82357C"/>
    <w:rsid w:val="6EA95C77"/>
    <w:rsid w:val="70126BB0"/>
    <w:rsid w:val="707006A1"/>
    <w:rsid w:val="712945BD"/>
    <w:rsid w:val="71F35B2E"/>
    <w:rsid w:val="730C3FC2"/>
    <w:rsid w:val="732A578E"/>
    <w:rsid w:val="74085A2E"/>
    <w:rsid w:val="751742BD"/>
    <w:rsid w:val="76130B63"/>
    <w:rsid w:val="763940BF"/>
    <w:rsid w:val="76655F31"/>
    <w:rsid w:val="77C47941"/>
    <w:rsid w:val="77F5776A"/>
    <w:rsid w:val="78EB0B43"/>
    <w:rsid w:val="79B90E6B"/>
    <w:rsid w:val="79EA71A0"/>
    <w:rsid w:val="7A257420"/>
    <w:rsid w:val="7DCB3E19"/>
    <w:rsid w:val="7DE850A9"/>
    <w:rsid w:val="7DEC7AAC"/>
    <w:rsid w:val="7EBF4E1A"/>
    <w:rsid w:val="7F2603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35"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ascii="Calibri" w:hAnsi="Calibri" w:eastAsia="仿宋" w:cs="Times New Roman"/>
      <w:kern w:val="2"/>
      <w:sz w:val="28"/>
      <w:szCs w:val="24"/>
      <w:lang w:val="en-US" w:eastAsia="zh-CN" w:bidi="ar-SA"/>
    </w:rPr>
  </w:style>
  <w:style w:type="paragraph" w:styleId="2">
    <w:name w:val="heading 1"/>
    <w:basedOn w:val="1"/>
    <w:link w:val="27"/>
    <w:autoRedefine/>
    <w:qFormat/>
    <w:uiPriority w:val="9"/>
    <w:pPr>
      <w:widowControl/>
      <w:numPr>
        <w:ilvl w:val="0"/>
        <w:numId w:val="1"/>
      </w:numPr>
      <w:adjustRightInd w:val="0"/>
      <w:snapToGrid w:val="0"/>
      <w:spacing w:before="100" w:beforeAutospacing="1" w:after="100" w:afterAutospacing="1"/>
      <w:ind w:firstLine="200"/>
      <w:jc w:val="left"/>
      <w:outlineLvl w:val="0"/>
    </w:pPr>
    <w:rPr>
      <w:rFonts w:ascii="宋体" w:hAnsi="宋体" w:eastAsia="黑体" w:cs="宋体"/>
      <w:b/>
      <w:bCs/>
      <w:kern w:val="36"/>
      <w:sz w:val="30"/>
      <w:szCs w:val="48"/>
    </w:rPr>
  </w:style>
  <w:style w:type="paragraph" w:styleId="3">
    <w:name w:val="heading 2"/>
    <w:basedOn w:val="1"/>
    <w:next w:val="1"/>
    <w:link w:val="35"/>
    <w:autoRedefine/>
    <w:qFormat/>
    <w:uiPriority w:val="9"/>
    <w:pPr>
      <w:keepNext/>
      <w:keepLines/>
      <w:numPr>
        <w:ilvl w:val="1"/>
        <w:numId w:val="1"/>
      </w:numPr>
      <w:ind w:firstLine="200"/>
      <w:outlineLvl w:val="1"/>
    </w:pPr>
    <w:rPr>
      <w:rFonts w:ascii="Arial" w:hAnsi="Arial" w:eastAsia="黑体"/>
    </w:rPr>
  </w:style>
  <w:style w:type="paragraph" w:styleId="4">
    <w:name w:val="heading 3"/>
    <w:basedOn w:val="1"/>
    <w:next w:val="1"/>
    <w:autoRedefine/>
    <w:qFormat/>
    <w:uiPriority w:val="0"/>
    <w:pPr>
      <w:keepNext/>
      <w:keepLines/>
      <w:numPr>
        <w:ilvl w:val="2"/>
        <w:numId w:val="1"/>
      </w:numPr>
      <w:ind w:firstLineChars="0"/>
      <w:outlineLvl w:val="2"/>
    </w:pPr>
    <w:rPr>
      <w:rFonts w:ascii="Times New Roman" w:hAnsi="Times New Roman" w:eastAsia="黑体"/>
      <w:b/>
    </w:rPr>
  </w:style>
  <w:style w:type="character" w:default="1" w:styleId="19">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5">
    <w:name w:val="caption"/>
    <w:basedOn w:val="1"/>
    <w:next w:val="1"/>
    <w:unhideWhenUsed/>
    <w:qFormat/>
    <w:uiPriority w:val="35"/>
    <w:rPr>
      <w:rFonts w:ascii="等线 Light" w:hAnsi="等线 Light" w:eastAsia="黑体"/>
      <w:sz w:val="20"/>
      <w:szCs w:val="20"/>
    </w:rPr>
  </w:style>
  <w:style w:type="paragraph" w:styleId="6">
    <w:name w:val="annotation text"/>
    <w:basedOn w:val="1"/>
    <w:link w:val="43"/>
    <w:qFormat/>
    <w:uiPriority w:val="0"/>
    <w:pPr>
      <w:jc w:val="left"/>
    </w:pPr>
  </w:style>
  <w:style w:type="paragraph" w:styleId="7">
    <w:name w:val="toc 3"/>
    <w:basedOn w:val="1"/>
    <w:next w:val="1"/>
    <w:autoRedefine/>
    <w:qFormat/>
    <w:uiPriority w:val="39"/>
    <w:pPr>
      <w:ind w:left="840" w:leftChars="400"/>
    </w:pPr>
  </w:style>
  <w:style w:type="paragraph" w:styleId="8">
    <w:name w:val="Date"/>
    <w:basedOn w:val="1"/>
    <w:next w:val="1"/>
    <w:link w:val="46"/>
    <w:autoRedefine/>
    <w:qFormat/>
    <w:uiPriority w:val="0"/>
    <w:pPr>
      <w:ind w:left="100" w:leftChars="2500"/>
    </w:pPr>
  </w:style>
  <w:style w:type="paragraph" w:styleId="9">
    <w:name w:val="Balloon Text"/>
    <w:basedOn w:val="1"/>
    <w:link w:val="32"/>
    <w:autoRedefine/>
    <w:qFormat/>
    <w:uiPriority w:val="0"/>
    <w:rPr>
      <w:sz w:val="18"/>
      <w:szCs w:val="18"/>
    </w:rPr>
  </w:style>
  <w:style w:type="paragraph" w:styleId="10">
    <w:name w:val="footer"/>
    <w:basedOn w:val="1"/>
    <w:link w:val="25"/>
    <w:autoRedefine/>
    <w:qFormat/>
    <w:uiPriority w:val="99"/>
    <w:pPr>
      <w:tabs>
        <w:tab w:val="center" w:pos="4153"/>
        <w:tab w:val="right" w:pos="8306"/>
      </w:tabs>
      <w:snapToGrid w:val="0"/>
      <w:jc w:val="left"/>
    </w:pPr>
    <w:rPr>
      <w:sz w:val="18"/>
      <w:szCs w:val="18"/>
    </w:rPr>
  </w:style>
  <w:style w:type="paragraph" w:styleId="11">
    <w:name w:val="header"/>
    <w:basedOn w:val="1"/>
    <w:link w:val="29"/>
    <w:autoRedefine/>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autoRedefine/>
    <w:qFormat/>
    <w:uiPriority w:val="39"/>
    <w:pPr>
      <w:tabs>
        <w:tab w:val="right" w:leader="dot" w:pos="8296"/>
      </w:tabs>
      <w:ind w:firstLine="0" w:firstLineChars="0"/>
    </w:pPr>
  </w:style>
  <w:style w:type="paragraph" w:styleId="13">
    <w:name w:val="toc 2"/>
    <w:basedOn w:val="1"/>
    <w:next w:val="1"/>
    <w:autoRedefine/>
    <w:qFormat/>
    <w:uiPriority w:val="39"/>
    <w:pPr>
      <w:tabs>
        <w:tab w:val="left" w:pos="1680"/>
        <w:tab w:val="right" w:leader="dot" w:pos="8296"/>
      </w:tabs>
      <w:ind w:left="560" w:leftChars="200" w:firstLine="0" w:firstLineChars="0"/>
    </w:pPr>
  </w:style>
  <w:style w:type="paragraph" w:styleId="14">
    <w:name w:val="Normal (Web)"/>
    <w:basedOn w:val="1"/>
    <w:autoRedefine/>
    <w:unhideWhenUsed/>
    <w:qFormat/>
    <w:uiPriority w:val="0"/>
    <w:pPr>
      <w:spacing w:before="100" w:beforeAutospacing="1" w:after="100" w:afterAutospacing="1" w:line="240" w:lineRule="auto"/>
      <w:ind w:firstLine="0" w:firstLineChars="0"/>
      <w:jc w:val="left"/>
    </w:pPr>
    <w:rPr>
      <w:rFonts w:hint="eastAsia"/>
      <w:kern w:val="0"/>
      <w:szCs w:val="20"/>
    </w:rPr>
  </w:style>
  <w:style w:type="paragraph" w:styleId="15">
    <w:name w:val="annotation subject"/>
    <w:basedOn w:val="6"/>
    <w:next w:val="6"/>
    <w:link w:val="44"/>
    <w:autoRedefine/>
    <w:qFormat/>
    <w:uiPriority w:val="0"/>
    <w:rPr>
      <w:b/>
      <w:bCs/>
    </w:rPr>
  </w:style>
  <w:style w:type="table" w:styleId="17">
    <w:name w:val="Table Grid"/>
    <w:basedOn w:val="1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
    <w:name w:val="Table Theme"/>
    <w:basedOn w:val="16"/>
    <w:autoRedefine/>
    <w:qFormat/>
    <w:uiPriority w:val="0"/>
    <w:pPr>
      <w:widowControl w:val="0"/>
      <w:spacing w:line="360" w:lineRule="auto"/>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Emphasis"/>
    <w:autoRedefine/>
    <w:qFormat/>
    <w:uiPriority w:val="0"/>
    <w:rPr>
      <w:i/>
    </w:rPr>
  </w:style>
  <w:style w:type="character" w:styleId="21">
    <w:name w:val="Hyperlink"/>
    <w:autoRedefine/>
    <w:unhideWhenUsed/>
    <w:qFormat/>
    <w:uiPriority w:val="99"/>
    <w:rPr>
      <w:color w:val="0563C1"/>
      <w:u w:val="single"/>
    </w:rPr>
  </w:style>
  <w:style w:type="character" w:styleId="22">
    <w:name w:val="annotation reference"/>
    <w:autoRedefine/>
    <w:qFormat/>
    <w:uiPriority w:val="0"/>
    <w:rPr>
      <w:sz w:val="21"/>
      <w:szCs w:val="21"/>
    </w:rPr>
  </w:style>
  <w:style w:type="character" w:customStyle="1" w:styleId="23">
    <w:name w:val="font21"/>
    <w:autoRedefine/>
    <w:qFormat/>
    <w:uiPriority w:val="0"/>
    <w:rPr>
      <w:rFonts w:hint="default" w:ascii="Times New Roman" w:hAnsi="Times New Roman" w:cs="Times New Roman"/>
      <w:color w:val="000000"/>
      <w:sz w:val="20"/>
      <w:szCs w:val="20"/>
      <w:u w:val="none"/>
    </w:rPr>
  </w:style>
  <w:style w:type="character" w:customStyle="1" w:styleId="24">
    <w:name w:val="font11"/>
    <w:autoRedefine/>
    <w:qFormat/>
    <w:uiPriority w:val="0"/>
    <w:rPr>
      <w:rFonts w:hint="default" w:ascii="Times New Roman" w:hAnsi="Times New Roman" w:cs="Times New Roman"/>
      <w:color w:val="000000"/>
      <w:sz w:val="21"/>
      <w:szCs w:val="21"/>
      <w:u w:val="none"/>
    </w:rPr>
  </w:style>
  <w:style w:type="character" w:customStyle="1" w:styleId="25">
    <w:name w:val="页脚 字符"/>
    <w:link w:val="10"/>
    <w:autoRedefine/>
    <w:qFormat/>
    <w:uiPriority w:val="99"/>
    <w:rPr>
      <w:kern w:val="2"/>
      <w:sz w:val="18"/>
      <w:szCs w:val="18"/>
    </w:rPr>
  </w:style>
  <w:style w:type="character" w:customStyle="1" w:styleId="26">
    <w:name w:val="font01"/>
    <w:autoRedefine/>
    <w:qFormat/>
    <w:uiPriority w:val="0"/>
    <w:rPr>
      <w:rFonts w:hint="eastAsia" w:ascii="宋体" w:hAnsi="宋体" w:eastAsia="宋体" w:cs="宋体"/>
      <w:color w:val="000000"/>
      <w:sz w:val="20"/>
      <w:szCs w:val="20"/>
      <w:u w:val="none"/>
    </w:rPr>
  </w:style>
  <w:style w:type="character" w:customStyle="1" w:styleId="27">
    <w:name w:val="标题 1 字符"/>
    <w:link w:val="2"/>
    <w:autoRedefine/>
    <w:qFormat/>
    <w:uiPriority w:val="9"/>
    <w:rPr>
      <w:rFonts w:ascii="宋体" w:hAnsi="宋体" w:eastAsia="黑体" w:cs="宋体"/>
      <w:b/>
      <w:bCs/>
      <w:kern w:val="36"/>
      <w:sz w:val="30"/>
      <w:szCs w:val="48"/>
    </w:rPr>
  </w:style>
  <w:style w:type="character" w:customStyle="1" w:styleId="28">
    <w:name w:val="font41"/>
    <w:autoRedefine/>
    <w:qFormat/>
    <w:uiPriority w:val="0"/>
    <w:rPr>
      <w:rFonts w:hint="eastAsia" w:ascii="宋体" w:hAnsi="宋体" w:eastAsia="宋体" w:cs="宋体"/>
      <w:color w:val="000000"/>
      <w:sz w:val="20"/>
      <w:szCs w:val="20"/>
      <w:u w:val="none"/>
    </w:rPr>
  </w:style>
  <w:style w:type="character" w:customStyle="1" w:styleId="29">
    <w:name w:val="页眉 字符"/>
    <w:link w:val="11"/>
    <w:autoRedefine/>
    <w:qFormat/>
    <w:uiPriority w:val="99"/>
    <w:rPr>
      <w:kern w:val="2"/>
      <w:sz w:val="18"/>
      <w:szCs w:val="18"/>
    </w:rPr>
  </w:style>
  <w:style w:type="character" w:customStyle="1" w:styleId="30">
    <w:name w:val="font51"/>
    <w:autoRedefine/>
    <w:qFormat/>
    <w:uiPriority w:val="0"/>
    <w:rPr>
      <w:rFonts w:hint="eastAsia" w:ascii="宋体" w:hAnsi="宋体" w:eastAsia="宋体" w:cs="宋体"/>
      <w:color w:val="000000"/>
      <w:sz w:val="20"/>
      <w:szCs w:val="20"/>
      <w:u w:val="none"/>
    </w:rPr>
  </w:style>
  <w:style w:type="character" w:customStyle="1" w:styleId="31">
    <w:name w:val="font61"/>
    <w:autoRedefine/>
    <w:qFormat/>
    <w:uiPriority w:val="0"/>
    <w:rPr>
      <w:rFonts w:hint="eastAsia" w:ascii="宋体" w:hAnsi="宋体" w:eastAsia="宋体" w:cs="宋体"/>
      <w:color w:val="000000"/>
      <w:sz w:val="20"/>
      <w:szCs w:val="20"/>
      <w:u w:val="none"/>
    </w:rPr>
  </w:style>
  <w:style w:type="character" w:customStyle="1" w:styleId="32">
    <w:name w:val="批注框文本 字符"/>
    <w:link w:val="9"/>
    <w:autoRedefine/>
    <w:qFormat/>
    <w:uiPriority w:val="0"/>
    <w:rPr>
      <w:kern w:val="2"/>
      <w:sz w:val="18"/>
      <w:szCs w:val="18"/>
    </w:rPr>
  </w:style>
  <w:style w:type="character" w:customStyle="1" w:styleId="33">
    <w:name w:val="font31"/>
    <w:autoRedefine/>
    <w:qFormat/>
    <w:uiPriority w:val="0"/>
    <w:rPr>
      <w:rFonts w:hint="default" w:ascii="Times New Roman" w:hAnsi="Times New Roman" w:cs="Times New Roman"/>
      <w:color w:val="000000"/>
      <w:sz w:val="20"/>
      <w:szCs w:val="20"/>
      <w:u w:val="none"/>
    </w:rPr>
  </w:style>
  <w:style w:type="character" w:customStyle="1" w:styleId="34">
    <w:name w:val="font81"/>
    <w:autoRedefine/>
    <w:qFormat/>
    <w:uiPriority w:val="0"/>
    <w:rPr>
      <w:rFonts w:hint="default" w:ascii="Times New Roman" w:hAnsi="Times New Roman" w:cs="Times New Roman"/>
      <w:color w:val="000000"/>
      <w:sz w:val="20"/>
      <w:szCs w:val="20"/>
      <w:u w:val="none"/>
    </w:rPr>
  </w:style>
  <w:style w:type="character" w:customStyle="1" w:styleId="35">
    <w:name w:val="标题 2 字符"/>
    <w:link w:val="3"/>
    <w:autoRedefine/>
    <w:qFormat/>
    <w:uiPriority w:val="9"/>
    <w:rPr>
      <w:rFonts w:ascii="Arial" w:hAnsi="Arial" w:eastAsia="黑体"/>
      <w:kern w:val="2"/>
      <w:sz w:val="28"/>
      <w:szCs w:val="24"/>
    </w:rPr>
  </w:style>
  <w:style w:type="paragraph" w:customStyle="1" w:styleId="36">
    <w:name w:val="內容"/>
    <w:basedOn w:val="1"/>
    <w:next w:val="1"/>
    <w:autoRedefine/>
    <w:qFormat/>
    <w:uiPriority w:val="0"/>
    <w:pPr>
      <w:spacing w:beforeLines="50" w:afterLines="50" w:line="480" w:lineRule="exact"/>
      <w:ind w:firstLine="482"/>
      <w:jc w:val="left"/>
    </w:pPr>
    <w:rPr>
      <w:rFonts w:ascii="Times New Roman" w:hAnsi="DFKai-SB" w:eastAsia="DFKai-SB"/>
      <w:sz w:val="26"/>
      <w:lang w:eastAsia="zh-TW"/>
    </w:rPr>
  </w:style>
  <w:style w:type="paragraph" w:customStyle="1" w:styleId="37">
    <w:name w:val="Default"/>
    <w:autoRedefine/>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38">
    <w:name w:val="内容分项"/>
    <w:autoRedefine/>
    <w:unhideWhenUsed/>
    <w:qFormat/>
    <w:uiPriority w:val="99"/>
    <w:pPr>
      <w:spacing w:line="360" w:lineRule="auto"/>
      <w:ind w:firstLine="420" w:firstLineChars="200"/>
    </w:pPr>
    <w:rPr>
      <w:rFonts w:ascii="Times New Roman" w:hAnsi="Times New Roman" w:eastAsia="楷体_GB2312" w:cs="Times New Roman"/>
      <w:b/>
      <w:sz w:val="30"/>
      <w:lang w:val="en-US" w:eastAsia="zh-CN" w:bidi="ar-SA"/>
    </w:rPr>
  </w:style>
  <w:style w:type="paragraph" w:customStyle="1" w:styleId="39">
    <w:name w:val="列出段落1"/>
    <w:basedOn w:val="1"/>
    <w:autoRedefine/>
    <w:qFormat/>
    <w:uiPriority w:val="34"/>
    <w:pPr>
      <w:ind w:firstLine="420"/>
    </w:pPr>
    <w:rPr>
      <w:szCs w:val="20"/>
    </w:rPr>
  </w:style>
  <w:style w:type="paragraph" w:styleId="40">
    <w:name w:val="List Paragraph"/>
    <w:basedOn w:val="1"/>
    <w:autoRedefine/>
    <w:qFormat/>
    <w:uiPriority w:val="34"/>
    <w:pPr>
      <w:ind w:firstLine="420"/>
    </w:pPr>
  </w:style>
  <w:style w:type="paragraph" w:customStyle="1" w:styleId="41">
    <w:name w:val="标题3"/>
    <w:basedOn w:val="4"/>
    <w:link w:val="42"/>
    <w:autoRedefine/>
    <w:qFormat/>
    <w:uiPriority w:val="0"/>
    <w:rPr>
      <w:rFonts w:ascii="等线" w:hAnsi="等线"/>
      <w:bCs/>
      <w:szCs w:val="32"/>
    </w:rPr>
  </w:style>
  <w:style w:type="character" w:customStyle="1" w:styleId="42">
    <w:name w:val="标题3 字符"/>
    <w:link w:val="41"/>
    <w:autoRedefine/>
    <w:qFormat/>
    <w:uiPriority w:val="0"/>
    <w:rPr>
      <w:rFonts w:ascii="等线" w:hAnsi="等线" w:eastAsia="黑体"/>
      <w:b/>
      <w:bCs/>
      <w:kern w:val="2"/>
      <w:sz w:val="24"/>
      <w:szCs w:val="32"/>
    </w:rPr>
  </w:style>
  <w:style w:type="character" w:customStyle="1" w:styleId="43">
    <w:name w:val="批注文字 字符"/>
    <w:link w:val="6"/>
    <w:autoRedefine/>
    <w:qFormat/>
    <w:uiPriority w:val="0"/>
    <w:rPr>
      <w:kern w:val="2"/>
      <w:sz w:val="24"/>
      <w:szCs w:val="24"/>
    </w:rPr>
  </w:style>
  <w:style w:type="character" w:customStyle="1" w:styleId="44">
    <w:name w:val="批注主题 字符"/>
    <w:link w:val="15"/>
    <w:autoRedefine/>
    <w:qFormat/>
    <w:uiPriority w:val="0"/>
    <w:rPr>
      <w:b/>
      <w:bCs/>
      <w:kern w:val="2"/>
      <w:sz w:val="24"/>
      <w:szCs w:val="24"/>
    </w:rPr>
  </w:style>
  <w:style w:type="paragraph" w:customStyle="1" w:styleId="45">
    <w:name w:val="样式2"/>
    <w:basedOn w:val="1"/>
    <w:autoRedefine/>
    <w:qFormat/>
    <w:uiPriority w:val="0"/>
    <w:pPr>
      <w:widowControl/>
      <w:spacing w:line="3299" w:lineRule="atLeast"/>
      <w:ind w:firstLine="198" w:firstLineChars="0"/>
      <w:textAlignment w:val="baseline"/>
    </w:pPr>
    <w:rPr>
      <w:rFonts w:ascii="方正仿宋简体" w:hAnsi="Times New Roman" w:eastAsia="方正仿宋简体"/>
      <w:color w:val="000000"/>
      <w:kern w:val="0"/>
      <w:szCs w:val="20"/>
      <w:u w:color="000000"/>
    </w:rPr>
  </w:style>
  <w:style w:type="character" w:customStyle="1" w:styleId="46">
    <w:name w:val="日期 字符"/>
    <w:link w:val="8"/>
    <w:autoRedefine/>
    <w:qFormat/>
    <w:uiPriority w:val="0"/>
    <w:rPr>
      <w:kern w:val="2"/>
      <w:sz w:val="24"/>
      <w:szCs w:val="24"/>
    </w:rPr>
  </w:style>
  <w:style w:type="paragraph" w:customStyle="1" w:styleId="47">
    <w:name w:val="TOC 标题1"/>
    <w:basedOn w:val="2"/>
    <w:next w:val="1"/>
    <w:autoRedefine/>
    <w:unhideWhenUsed/>
    <w:qFormat/>
    <w:uiPriority w:val="39"/>
    <w:pPr>
      <w:keepNext/>
      <w:keepLines/>
      <w:numPr>
        <w:numId w:val="0"/>
      </w:numPr>
      <w:spacing w:before="240" w:beforeAutospacing="0" w:after="0" w:afterAutospacing="0" w:line="259" w:lineRule="auto"/>
      <w:outlineLvl w:val="9"/>
    </w:pPr>
    <w:rPr>
      <w:rFonts w:ascii="等线 Light" w:hAnsi="等线 Light" w:eastAsia="等线 Light" w:cs="Times New Roman"/>
      <w:b w:val="0"/>
      <w:bCs w:val="0"/>
      <w:color w:val="2E74B5"/>
      <w:kern w:val="0"/>
      <w:sz w:val="32"/>
      <w:szCs w:val="32"/>
    </w:rPr>
  </w:style>
  <w:style w:type="table" w:customStyle="1" w:styleId="48">
    <w:name w:val="网格型1"/>
    <w:basedOn w:val="16"/>
    <w:autoRedefine/>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
    <w:name w:val="网格型2"/>
    <w:basedOn w:val="16"/>
    <w:autoRedefine/>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
    <w:name w:val="TOC Heading"/>
    <w:basedOn w:val="2"/>
    <w:next w:val="1"/>
    <w:autoRedefine/>
    <w:semiHidden/>
    <w:unhideWhenUsed/>
    <w:qFormat/>
    <w:uiPriority w:val="39"/>
    <w:pPr>
      <w:keepNext/>
      <w:keepLines/>
      <w:numPr>
        <w:numId w:val="0"/>
      </w:numPr>
      <w:adjustRightInd/>
      <w:snapToGrid/>
      <w:spacing w:before="480" w:beforeAutospacing="0" w:after="0" w:afterAutospacing="0" w:line="276" w:lineRule="auto"/>
      <w:outlineLvl w:val="9"/>
    </w:pPr>
    <w:rPr>
      <w:rFonts w:asciiTheme="majorHAnsi" w:hAnsiTheme="majorHAnsi" w:eastAsiaTheme="majorEastAsia" w:cstheme="majorBidi"/>
      <w:color w:val="2E75B6"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7" Type="http://schemas.openxmlformats.org/officeDocument/2006/relationships/fontTable" Target="fontTable.xml"/><Relationship Id="rId46" Type="http://schemas.openxmlformats.org/officeDocument/2006/relationships/customXml" Target="../customXml/item2.xml"/><Relationship Id="rId45" Type="http://schemas.openxmlformats.org/officeDocument/2006/relationships/numbering" Target="numbering.xml"/><Relationship Id="rId44" Type="http://schemas.openxmlformats.org/officeDocument/2006/relationships/customXml" Target="../customXml/item1.xml"/><Relationship Id="rId43" Type="http://schemas.openxmlformats.org/officeDocument/2006/relationships/image" Target="media/image31.jpeg"/><Relationship Id="rId42" Type="http://schemas.openxmlformats.org/officeDocument/2006/relationships/image" Target="media/image30.jpeg"/><Relationship Id="rId41" Type="http://schemas.openxmlformats.org/officeDocument/2006/relationships/image" Target="media/image29.jpeg"/><Relationship Id="rId40" Type="http://schemas.openxmlformats.org/officeDocument/2006/relationships/image" Target="media/image28.jpeg"/><Relationship Id="rId4" Type="http://schemas.openxmlformats.org/officeDocument/2006/relationships/endnotes" Target="endnotes.xml"/><Relationship Id="rId39" Type="http://schemas.openxmlformats.org/officeDocument/2006/relationships/image" Target="media/image27.jpeg"/><Relationship Id="rId38" Type="http://schemas.openxmlformats.org/officeDocument/2006/relationships/image" Target="media/image26.jpeg"/><Relationship Id="rId37" Type="http://schemas.openxmlformats.org/officeDocument/2006/relationships/image" Target="media/image25.jpeg"/><Relationship Id="rId36" Type="http://schemas.openxmlformats.org/officeDocument/2006/relationships/image" Target="media/image24.png"/><Relationship Id="rId35" Type="http://schemas.openxmlformats.org/officeDocument/2006/relationships/image" Target="media/image23.jpeg"/><Relationship Id="rId34" Type="http://schemas.openxmlformats.org/officeDocument/2006/relationships/image" Target="media/image22.jpeg"/><Relationship Id="rId33" Type="http://schemas.openxmlformats.org/officeDocument/2006/relationships/image" Target="media/image21.png"/><Relationship Id="rId32" Type="http://schemas.openxmlformats.org/officeDocument/2006/relationships/image" Target="media/image20.jpeg"/><Relationship Id="rId31" Type="http://schemas.openxmlformats.org/officeDocument/2006/relationships/image" Target="media/image19.jpeg"/><Relationship Id="rId30" Type="http://schemas.openxmlformats.org/officeDocument/2006/relationships/image" Target="media/image18.jpeg"/><Relationship Id="rId3" Type="http://schemas.openxmlformats.org/officeDocument/2006/relationships/footnotes" Target="footnotes.xml"/><Relationship Id="rId29" Type="http://schemas.openxmlformats.org/officeDocument/2006/relationships/image" Target="media/image17.png"/><Relationship Id="rId28" Type="http://schemas.openxmlformats.org/officeDocument/2006/relationships/image" Target="media/image16.jpeg"/><Relationship Id="rId27" Type="http://schemas.openxmlformats.org/officeDocument/2006/relationships/image" Target="media/image15.jpeg"/><Relationship Id="rId26" Type="http://schemas.openxmlformats.org/officeDocument/2006/relationships/image" Target="media/image14.png"/><Relationship Id="rId25" Type="http://schemas.openxmlformats.org/officeDocument/2006/relationships/image" Target="media/image13.jpeg"/><Relationship Id="rId24" Type="http://schemas.openxmlformats.org/officeDocument/2006/relationships/image" Target="media/image12.png"/><Relationship Id="rId23" Type="http://schemas.openxmlformats.org/officeDocument/2006/relationships/image" Target="media/image11.jpeg"/><Relationship Id="rId22" Type="http://schemas.openxmlformats.org/officeDocument/2006/relationships/image" Target="media/image10.jpeg"/><Relationship Id="rId21" Type="http://schemas.openxmlformats.org/officeDocument/2006/relationships/image" Target="media/image9.jpeg"/><Relationship Id="rId20" Type="http://schemas.openxmlformats.org/officeDocument/2006/relationships/image" Target="media/image8.jpeg"/><Relationship Id="rId2" Type="http://schemas.openxmlformats.org/officeDocument/2006/relationships/settings" Target="settings.xml"/><Relationship Id="rId19" Type="http://schemas.openxmlformats.org/officeDocument/2006/relationships/image" Target="media/image7.jpe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E36997-1440-4392-BC90-5EFC476BC32F}">
  <ds:schemaRefs/>
</ds:datastoreItem>
</file>

<file path=docProps/app.xml><?xml version="1.0" encoding="utf-8"?>
<Properties xmlns="http://schemas.openxmlformats.org/officeDocument/2006/extended-properties" xmlns:vt="http://schemas.openxmlformats.org/officeDocument/2006/docPropsVTypes">
  <Template>Normal</Template>
  <Company>-PC</Company>
  <Pages>43</Pages>
  <Words>4615</Words>
  <Characters>5356</Characters>
  <Lines>107</Lines>
  <Paragraphs>30</Paragraphs>
  <TotalTime>2323</TotalTime>
  <ScaleCrop>false</ScaleCrop>
  <LinksUpToDate>false</LinksUpToDate>
  <CharactersWithSpaces>5510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2024-05-06T05:29:00Z</dcterms:created>
  <dc:creator>Y</dc:creator>
  <cp:lastModifiedBy>♡ 安简熙♂</cp:lastModifiedBy>
  <cp:lastPrinted>2025-08-26T07:57:00Z</cp:lastPrinted>
  <dcterms:modified xsi:type="dcterms:W3CDTF">2025-08-29T02:44:22Z</dcterms:modified>
  <cp:revision>199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F8391602B3AF4921A4DE336A7363D111_13</vt:lpwstr>
  </property>
  <property fmtid="{D5CDD505-2E9C-101B-9397-08002B2CF9AE}" pid="4" name="KSOTemplateDocerSaveRecord">
    <vt:lpwstr>eyJoZGlkIjoiODljM2UwYWRkM2IwOGUyYTQ4YmM5ZDU5OGI1ZDczMTkiLCJ1c2VySWQiOiIxOTg5OTE3MzIifQ==</vt:lpwstr>
  </property>
</Properties>
</file>